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440" w:rsidRPr="000E7530" w:rsidRDefault="00D96569" w:rsidP="00132E2D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b/>
          <w:sz w:val="19"/>
          <w:szCs w:val="19"/>
          <w:lang w:val="en-GB"/>
        </w:rPr>
      </w:pPr>
      <w:r w:rsidRPr="00956693">
        <w:rPr>
          <w:rFonts w:ascii="Tahoma" w:hAnsi="Tahoma" w:cs="Tahoma"/>
          <w:b/>
          <w:sz w:val="19"/>
          <w:szCs w:val="19"/>
          <w:lang w:val="en-GB"/>
        </w:rPr>
        <w:t>AN</w:t>
      </w:r>
      <w:r w:rsidR="00132E2D" w:rsidRPr="00956693">
        <w:rPr>
          <w:rFonts w:ascii="Tahoma" w:hAnsi="Tahoma" w:cs="Tahoma"/>
          <w:b/>
          <w:sz w:val="19"/>
          <w:szCs w:val="19"/>
          <w:lang w:val="en-GB"/>
        </w:rPr>
        <w:t>EKS</w:t>
      </w:r>
      <w:r w:rsidRPr="00956693">
        <w:rPr>
          <w:rFonts w:ascii="Tahoma" w:hAnsi="Tahoma" w:cs="Tahoma"/>
          <w:b/>
          <w:sz w:val="19"/>
          <w:szCs w:val="19"/>
          <w:lang w:val="en-GB"/>
        </w:rPr>
        <w:t xml:space="preserve"> </w:t>
      </w:r>
      <w:proofErr w:type="gramStart"/>
      <w:r w:rsidR="00956693" w:rsidRPr="00956693">
        <w:rPr>
          <w:rFonts w:ascii="Tahoma" w:hAnsi="Tahoma" w:cs="Tahoma"/>
          <w:b/>
          <w:sz w:val="19"/>
          <w:szCs w:val="19"/>
          <w:lang w:val="en-GB"/>
        </w:rPr>
        <w:t>7</w:t>
      </w:r>
      <w:r w:rsidRPr="00956693">
        <w:rPr>
          <w:rFonts w:ascii="Tahoma" w:hAnsi="Tahoma" w:cs="Tahoma"/>
          <w:b/>
          <w:sz w:val="19"/>
          <w:szCs w:val="19"/>
          <w:lang w:val="en-GB"/>
        </w:rPr>
        <w:t xml:space="preserve">.0  </w:t>
      </w:r>
      <w:r w:rsidR="00956693">
        <w:rPr>
          <w:rFonts w:ascii="Tahoma" w:hAnsi="Tahoma" w:cs="Tahoma"/>
          <w:b/>
          <w:sz w:val="19"/>
          <w:szCs w:val="19"/>
          <w:lang w:val="en-GB"/>
        </w:rPr>
        <w:t>GENRIČKI</w:t>
      </w:r>
      <w:proofErr w:type="gramEnd"/>
      <w:r w:rsidR="00956693">
        <w:rPr>
          <w:rFonts w:ascii="Tahoma" w:hAnsi="Tahoma" w:cs="Tahoma"/>
          <w:b/>
          <w:sz w:val="19"/>
          <w:szCs w:val="19"/>
          <w:lang w:val="en-GB"/>
        </w:rPr>
        <w:t xml:space="preserve"> P</w:t>
      </w:r>
      <w:r w:rsidR="00D23A6A" w:rsidRPr="00956693">
        <w:rPr>
          <w:rFonts w:ascii="Tahoma" w:hAnsi="Tahoma" w:cs="Tahoma"/>
          <w:b/>
          <w:sz w:val="19"/>
          <w:szCs w:val="19"/>
          <w:lang w:val="en-GB"/>
        </w:rPr>
        <w:t>LAN</w:t>
      </w:r>
      <w:r w:rsidR="00D23A6A">
        <w:rPr>
          <w:rFonts w:ascii="Tahoma" w:hAnsi="Tahoma" w:cs="Tahoma"/>
          <w:b/>
          <w:sz w:val="19"/>
          <w:szCs w:val="19"/>
          <w:lang w:val="en-GB"/>
        </w:rPr>
        <w:t xml:space="preserve"> UPRAVLJANJA </w:t>
      </w:r>
      <w:r w:rsidR="00D23A6A">
        <w:rPr>
          <w:rFonts w:ascii="Tahoma" w:hAnsi="Tahoma" w:cs="Tahoma"/>
          <w:b/>
          <w:sz w:val="19"/>
          <w:szCs w:val="19"/>
          <w:lang w:val="sr-Latn-CS"/>
        </w:rPr>
        <w:t>OTPADOM ZA REKONSTRUKCIJU I UNAPREĐENJE JAVNIH OBJEKATA U DRŽAVANOM VLASNIŠTVU</w:t>
      </w:r>
    </w:p>
    <w:p w:rsidR="006C7440" w:rsidRPr="000E7530" w:rsidRDefault="00D23A6A" w:rsidP="00132E2D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r>
        <w:rPr>
          <w:rFonts w:ascii="Tahoma" w:hAnsi="Tahoma" w:cs="Tahoma"/>
          <w:sz w:val="19"/>
          <w:szCs w:val="19"/>
          <w:lang w:val="en-GB"/>
        </w:rPr>
        <w:t>Izvođač radova ima obavezu da pre početka radova ukloni svu opermu i mat</w:t>
      </w:r>
      <w:r w:rsidR="004922D1">
        <w:rPr>
          <w:rFonts w:ascii="Tahoma" w:hAnsi="Tahoma" w:cs="Tahoma"/>
          <w:sz w:val="19"/>
          <w:szCs w:val="19"/>
          <w:lang w:val="en-GB"/>
        </w:rPr>
        <w:t xml:space="preserve">erijal koji se više neće koristiti, kao i da ga odloži </w:t>
      </w:r>
      <w:proofErr w:type="gramStart"/>
      <w:r w:rsidR="004922D1">
        <w:rPr>
          <w:rFonts w:ascii="Tahoma" w:hAnsi="Tahoma" w:cs="Tahoma"/>
          <w:sz w:val="19"/>
          <w:szCs w:val="19"/>
          <w:lang w:val="en-GB"/>
        </w:rPr>
        <w:t>ili</w:t>
      </w:r>
      <w:proofErr w:type="gramEnd"/>
      <w:r w:rsidR="004922D1">
        <w:rPr>
          <w:rFonts w:ascii="Tahoma" w:hAnsi="Tahoma" w:cs="Tahoma"/>
          <w:sz w:val="19"/>
          <w:szCs w:val="19"/>
          <w:lang w:val="en-GB"/>
        </w:rPr>
        <w:t xml:space="preserve"> reciklira na odgovarajući način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>.</w:t>
      </w:r>
      <w:r w:rsidR="00956693">
        <w:rPr>
          <w:rFonts w:ascii="Tahoma" w:hAnsi="Tahoma" w:cs="Tahoma"/>
          <w:sz w:val="19"/>
          <w:szCs w:val="19"/>
          <w:lang w:val="en-GB"/>
        </w:rPr>
        <w:t xml:space="preserve"> </w:t>
      </w:r>
      <w:r w:rsidR="004922D1">
        <w:rPr>
          <w:rFonts w:ascii="Tahoma" w:hAnsi="Tahoma" w:cs="Tahoma"/>
          <w:sz w:val="19"/>
          <w:szCs w:val="19"/>
          <w:lang w:val="en-GB"/>
        </w:rPr>
        <w:t xml:space="preserve">Gde god je moguće, otpad treba svesti </w:t>
      </w:r>
      <w:proofErr w:type="gramStart"/>
      <w:r w:rsidR="004922D1">
        <w:rPr>
          <w:rFonts w:ascii="Tahoma" w:hAnsi="Tahoma" w:cs="Tahoma"/>
          <w:sz w:val="19"/>
          <w:szCs w:val="19"/>
          <w:lang w:val="en-GB"/>
        </w:rPr>
        <w:t>na</w:t>
      </w:r>
      <w:proofErr w:type="gramEnd"/>
      <w:r w:rsidR="004922D1">
        <w:rPr>
          <w:rFonts w:ascii="Tahoma" w:hAnsi="Tahoma" w:cs="Tahoma"/>
          <w:sz w:val="19"/>
          <w:szCs w:val="19"/>
          <w:lang w:val="en-GB"/>
        </w:rPr>
        <w:t xml:space="preserve"> minimum, treba ga razvrstati i tretirati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. </w:t>
      </w:r>
      <w:r w:rsidR="004922D1">
        <w:rPr>
          <w:rFonts w:ascii="Tahoma" w:hAnsi="Tahoma" w:cs="Tahoma"/>
          <w:sz w:val="19"/>
          <w:szCs w:val="19"/>
          <w:lang w:val="en-GB"/>
        </w:rPr>
        <w:t xml:space="preserve">Ove vrste otpada je moguće razvrstati u toku radova </w:t>
      </w:r>
      <w:proofErr w:type="gramStart"/>
      <w:r w:rsidR="004922D1">
        <w:rPr>
          <w:rFonts w:ascii="Tahoma" w:hAnsi="Tahoma" w:cs="Tahoma"/>
          <w:sz w:val="19"/>
          <w:szCs w:val="19"/>
          <w:lang w:val="en-GB"/>
        </w:rPr>
        <w:t>na</w:t>
      </w:r>
      <w:proofErr w:type="gramEnd"/>
      <w:r w:rsidR="004922D1">
        <w:rPr>
          <w:rFonts w:ascii="Tahoma" w:hAnsi="Tahoma" w:cs="Tahoma"/>
          <w:sz w:val="19"/>
          <w:szCs w:val="19"/>
          <w:lang w:val="en-GB"/>
        </w:rPr>
        <w:t xml:space="preserve"> rušenju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>:</w:t>
      </w:r>
    </w:p>
    <w:p w:rsidR="006C7440" w:rsidRPr="000E7530" w:rsidRDefault="006C7440" w:rsidP="00132E2D">
      <w:pPr>
        <w:autoSpaceDE w:val="0"/>
        <w:autoSpaceDN w:val="0"/>
        <w:adjustRightInd w:val="0"/>
        <w:spacing w:after="4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r w:rsidRPr="000E7530">
        <w:rPr>
          <w:rFonts w:ascii="Tahoma" w:hAnsi="Tahoma" w:cs="Tahoma"/>
          <w:sz w:val="19"/>
          <w:szCs w:val="19"/>
          <w:lang w:val="en-GB"/>
        </w:rPr>
        <w:t xml:space="preserve">1. </w:t>
      </w:r>
      <w:proofErr w:type="gramStart"/>
      <w:r w:rsidR="004922D1">
        <w:rPr>
          <w:rFonts w:ascii="Tahoma" w:hAnsi="Tahoma" w:cs="Tahoma"/>
          <w:sz w:val="19"/>
          <w:szCs w:val="19"/>
          <w:lang w:val="en-GB"/>
        </w:rPr>
        <w:t>građevinski</w:t>
      </w:r>
      <w:proofErr w:type="gramEnd"/>
      <w:r w:rsidR="004922D1">
        <w:rPr>
          <w:rFonts w:ascii="Tahoma" w:hAnsi="Tahoma" w:cs="Tahoma"/>
          <w:sz w:val="19"/>
          <w:szCs w:val="19"/>
          <w:lang w:val="en-GB"/>
        </w:rPr>
        <w:t xml:space="preserve"> </w:t>
      </w:r>
      <w:r w:rsidR="00956693">
        <w:rPr>
          <w:rFonts w:ascii="Tahoma" w:hAnsi="Tahoma" w:cs="Tahoma"/>
          <w:sz w:val="19"/>
          <w:szCs w:val="19"/>
          <w:lang w:val="en-GB"/>
        </w:rPr>
        <w:t>otpad od rušenja</w:t>
      </w:r>
      <w:r w:rsidRPr="000E7530">
        <w:rPr>
          <w:rFonts w:ascii="Tahoma" w:hAnsi="Tahoma" w:cs="Tahoma"/>
          <w:sz w:val="19"/>
          <w:szCs w:val="19"/>
          <w:lang w:val="en-GB"/>
        </w:rPr>
        <w:t xml:space="preserve">: </w:t>
      </w:r>
      <w:r w:rsidR="004922D1">
        <w:rPr>
          <w:rFonts w:ascii="Tahoma" w:hAnsi="Tahoma" w:cs="Tahoma"/>
          <w:sz w:val="19"/>
          <w:szCs w:val="19"/>
          <w:lang w:val="en-GB"/>
        </w:rPr>
        <w:t>pločice, cigle, beton i drugi otpad od rušenja sličnih karakteristika</w:t>
      </w:r>
      <w:r w:rsidRPr="000E7530">
        <w:rPr>
          <w:rFonts w:ascii="Tahoma" w:hAnsi="Tahoma" w:cs="Tahoma"/>
          <w:sz w:val="19"/>
          <w:szCs w:val="19"/>
          <w:lang w:val="en-GB"/>
        </w:rPr>
        <w:t>;</w:t>
      </w:r>
    </w:p>
    <w:p w:rsidR="006C7440" w:rsidRPr="000E7530" w:rsidRDefault="006C7440" w:rsidP="00132E2D">
      <w:pPr>
        <w:autoSpaceDE w:val="0"/>
        <w:autoSpaceDN w:val="0"/>
        <w:adjustRightInd w:val="0"/>
        <w:spacing w:after="4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r w:rsidRPr="000E7530">
        <w:rPr>
          <w:rFonts w:ascii="Tahoma" w:hAnsi="Tahoma" w:cs="Tahoma"/>
          <w:sz w:val="19"/>
          <w:szCs w:val="19"/>
          <w:lang w:val="en-GB"/>
        </w:rPr>
        <w:t xml:space="preserve">2. </w:t>
      </w:r>
      <w:proofErr w:type="gramStart"/>
      <w:r w:rsidR="004922D1">
        <w:rPr>
          <w:rFonts w:ascii="Tahoma" w:hAnsi="Tahoma" w:cs="Tahoma"/>
          <w:sz w:val="19"/>
          <w:szCs w:val="19"/>
          <w:lang w:val="en-GB"/>
        </w:rPr>
        <w:t>drvo</w:t>
      </w:r>
      <w:proofErr w:type="gramEnd"/>
      <w:r w:rsidRPr="000E7530">
        <w:rPr>
          <w:rFonts w:ascii="Tahoma" w:hAnsi="Tahoma" w:cs="Tahoma"/>
          <w:sz w:val="19"/>
          <w:szCs w:val="19"/>
          <w:lang w:val="en-GB"/>
        </w:rPr>
        <w:t xml:space="preserve">: </w:t>
      </w:r>
      <w:r w:rsidR="004922D1">
        <w:rPr>
          <w:rFonts w:ascii="Tahoma" w:hAnsi="Tahoma" w:cs="Tahoma"/>
          <w:sz w:val="19"/>
          <w:szCs w:val="19"/>
          <w:lang w:val="en-GB"/>
        </w:rPr>
        <w:t>vrata, prozorski ramovi, podovi i dr</w:t>
      </w:r>
      <w:r w:rsidRPr="000E7530">
        <w:rPr>
          <w:rFonts w:ascii="Tahoma" w:hAnsi="Tahoma" w:cs="Tahoma"/>
          <w:sz w:val="19"/>
          <w:szCs w:val="19"/>
          <w:lang w:val="en-GB"/>
        </w:rPr>
        <w:t>.;</w:t>
      </w:r>
    </w:p>
    <w:p w:rsidR="006C7440" w:rsidRPr="000E7530" w:rsidRDefault="006C7440" w:rsidP="00132E2D">
      <w:pPr>
        <w:autoSpaceDE w:val="0"/>
        <w:autoSpaceDN w:val="0"/>
        <w:adjustRightInd w:val="0"/>
        <w:spacing w:after="4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r w:rsidRPr="000E7530">
        <w:rPr>
          <w:rFonts w:ascii="Tahoma" w:hAnsi="Tahoma" w:cs="Tahoma"/>
          <w:sz w:val="19"/>
          <w:szCs w:val="19"/>
          <w:lang w:val="en-GB"/>
        </w:rPr>
        <w:t xml:space="preserve">3. </w:t>
      </w:r>
      <w:proofErr w:type="gramStart"/>
      <w:r w:rsidR="004922D1">
        <w:rPr>
          <w:rFonts w:ascii="Tahoma" w:hAnsi="Tahoma" w:cs="Tahoma"/>
          <w:sz w:val="19"/>
          <w:szCs w:val="19"/>
          <w:lang w:val="en-GB"/>
        </w:rPr>
        <w:t>plastika</w:t>
      </w:r>
      <w:proofErr w:type="gramEnd"/>
      <w:r w:rsidRPr="000E7530">
        <w:rPr>
          <w:rFonts w:ascii="Tahoma" w:hAnsi="Tahoma" w:cs="Tahoma"/>
          <w:sz w:val="19"/>
          <w:szCs w:val="19"/>
          <w:lang w:val="en-GB"/>
        </w:rPr>
        <w:t xml:space="preserve">: </w:t>
      </w:r>
      <w:r w:rsidR="004922D1">
        <w:rPr>
          <w:rFonts w:ascii="Tahoma" w:hAnsi="Tahoma" w:cs="Tahoma"/>
          <w:sz w:val="19"/>
          <w:szCs w:val="19"/>
          <w:lang w:val="en-GB"/>
        </w:rPr>
        <w:t>folije za prozore</w:t>
      </w:r>
      <w:r w:rsidRPr="000E7530">
        <w:rPr>
          <w:rFonts w:ascii="Tahoma" w:hAnsi="Tahoma" w:cs="Tahoma"/>
          <w:sz w:val="19"/>
          <w:szCs w:val="19"/>
          <w:lang w:val="en-GB"/>
        </w:rPr>
        <w:t xml:space="preserve">, </w:t>
      </w:r>
      <w:r w:rsidR="004922D1">
        <w:rPr>
          <w:rFonts w:ascii="Tahoma" w:hAnsi="Tahoma" w:cs="Tahoma"/>
          <w:sz w:val="19"/>
          <w:szCs w:val="19"/>
          <w:lang w:val="en-GB"/>
        </w:rPr>
        <w:t>roletne i dr</w:t>
      </w:r>
      <w:r w:rsidRPr="000E7530">
        <w:rPr>
          <w:rFonts w:ascii="Tahoma" w:hAnsi="Tahoma" w:cs="Tahoma"/>
          <w:sz w:val="19"/>
          <w:szCs w:val="19"/>
          <w:lang w:val="en-GB"/>
        </w:rPr>
        <w:t>.;</w:t>
      </w:r>
    </w:p>
    <w:p w:rsidR="006C7440" w:rsidRPr="000E7530" w:rsidRDefault="006C7440" w:rsidP="00132E2D">
      <w:pPr>
        <w:autoSpaceDE w:val="0"/>
        <w:autoSpaceDN w:val="0"/>
        <w:adjustRightInd w:val="0"/>
        <w:spacing w:after="4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r w:rsidRPr="000E7530">
        <w:rPr>
          <w:rFonts w:ascii="Tahoma" w:hAnsi="Tahoma" w:cs="Tahoma"/>
          <w:sz w:val="19"/>
          <w:szCs w:val="19"/>
          <w:lang w:val="en-GB"/>
        </w:rPr>
        <w:t xml:space="preserve">4. </w:t>
      </w:r>
      <w:proofErr w:type="gramStart"/>
      <w:r w:rsidR="004922D1">
        <w:rPr>
          <w:rFonts w:ascii="Tahoma" w:hAnsi="Tahoma" w:cs="Tahoma"/>
          <w:sz w:val="19"/>
          <w:szCs w:val="19"/>
          <w:lang w:val="en-GB"/>
        </w:rPr>
        <w:t>staklo</w:t>
      </w:r>
      <w:proofErr w:type="gramEnd"/>
      <w:r w:rsidRPr="000E7530">
        <w:rPr>
          <w:rFonts w:ascii="Tahoma" w:hAnsi="Tahoma" w:cs="Tahoma"/>
          <w:sz w:val="19"/>
          <w:szCs w:val="19"/>
          <w:lang w:val="en-GB"/>
        </w:rPr>
        <w:t xml:space="preserve">: </w:t>
      </w:r>
      <w:r w:rsidR="004922D1">
        <w:rPr>
          <w:rFonts w:ascii="Tahoma" w:hAnsi="Tahoma" w:cs="Tahoma"/>
          <w:sz w:val="19"/>
          <w:szCs w:val="19"/>
          <w:lang w:val="en-GB"/>
        </w:rPr>
        <w:t>iz prozora i vrata</w:t>
      </w:r>
      <w:r w:rsidRPr="000E7530">
        <w:rPr>
          <w:rFonts w:ascii="Tahoma" w:hAnsi="Tahoma" w:cs="Tahoma"/>
          <w:sz w:val="19"/>
          <w:szCs w:val="19"/>
          <w:lang w:val="en-GB"/>
        </w:rPr>
        <w:t>;</w:t>
      </w:r>
    </w:p>
    <w:p w:rsidR="006C7440" w:rsidRPr="000E7530" w:rsidRDefault="006C7440" w:rsidP="00132E2D">
      <w:pPr>
        <w:autoSpaceDE w:val="0"/>
        <w:autoSpaceDN w:val="0"/>
        <w:adjustRightInd w:val="0"/>
        <w:spacing w:after="4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r w:rsidRPr="000E7530">
        <w:rPr>
          <w:rFonts w:ascii="Tahoma" w:hAnsi="Tahoma" w:cs="Tahoma"/>
          <w:sz w:val="19"/>
          <w:szCs w:val="19"/>
          <w:lang w:val="en-GB"/>
        </w:rPr>
        <w:t xml:space="preserve">5. </w:t>
      </w:r>
      <w:proofErr w:type="gramStart"/>
      <w:r w:rsidRPr="000E7530">
        <w:rPr>
          <w:rFonts w:ascii="Tahoma" w:hAnsi="Tahoma" w:cs="Tahoma"/>
          <w:sz w:val="19"/>
          <w:szCs w:val="19"/>
          <w:lang w:val="en-GB"/>
        </w:rPr>
        <w:t>metal</w:t>
      </w:r>
      <w:r w:rsidR="004922D1">
        <w:rPr>
          <w:rFonts w:ascii="Tahoma" w:hAnsi="Tahoma" w:cs="Tahoma"/>
          <w:sz w:val="19"/>
          <w:szCs w:val="19"/>
          <w:lang w:val="en-GB"/>
        </w:rPr>
        <w:t>i</w:t>
      </w:r>
      <w:proofErr w:type="gramEnd"/>
      <w:r w:rsidRPr="000E7530">
        <w:rPr>
          <w:rFonts w:ascii="Tahoma" w:hAnsi="Tahoma" w:cs="Tahoma"/>
          <w:sz w:val="19"/>
          <w:szCs w:val="19"/>
          <w:lang w:val="en-GB"/>
        </w:rPr>
        <w:t xml:space="preserve">: </w:t>
      </w:r>
      <w:r w:rsidR="004922D1">
        <w:rPr>
          <w:rFonts w:ascii="Tahoma" w:hAnsi="Tahoma" w:cs="Tahoma"/>
          <w:sz w:val="19"/>
          <w:szCs w:val="19"/>
          <w:lang w:val="en-GB"/>
        </w:rPr>
        <w:t xml:space="preserve">bojleri, električni grejači, </w:t>
      </w:r>
      <w:r w:rsidR="00A03902">
        <w:rPr>
          <w:rFonts w:ascii="Tahoma" w:hAnsi="Tahoma" w:cs="Tahoma"/>
          <w:sz w:val="19"/>
          <w:szCs w:val="19"/>
          <w:lang w:val="en-GB"/>
        </w:rPr>
        <w:t xml:space="preserve">obložene </w:t>
      </w:r>
      <w:r w:rsidR="004922D1">
        <w:rPr>
          <w:rFonts w:ascii="Tahoma" w:hAnsi="Tahoma" w:cs="Tahoma"/>
          <w:sz w:val="19"/>
          <w:szCs w:val="19"/>
          <w:lang w:val="en-GB"/>
        </w:rPr>
        <w:t>cevi, lavaboi</w:t>
      </w:r>
      <w:r w:rsidRPr="000E7530">
        <w:rPr>
          <w:rFonts w:ascii="Tahoma" w:hAnsi="Tahoma" w:cs="Tahoma"/>
          <w:sz w:val="19"/>
          <w:szCs w:val="19"/>
          <w:lang w:val="en-GB"/>
        </w:rPr>
        <w:t>;</w:t>
      </w:r>
    </w:p>
    <w:p w:rsidR="006C7440" w:rsidRPr="000E7530" w:rsidRDefault="006C7440" w:rsidP="00132E2D">
      <w:pPr>
        <w:autoSpaceDE w:val="0"/>
        <w:autoSpaceDN w:val="0"/>
        <w:adjustRightInd w:val="0"/>
        <w:spacing w:after="4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r w:rsidRPr="000E7530">
        <w:rPr>
          <w:rFonts w:ascii="Tahoma" w:hAnsi="Tahoma" w:cs="Tahoma"/>
          <w:sz w:val="19"/>
          <w:szCs w:val="19"/>
          <w:lang w:val="en-GB"/>
        </w:rPr>
        <w:t xml:space="preserve">6. </w:t>
      </w:r>
      <w:r w:rsidR="00A03902">
        <w:rPr>
          <w:rFonts w:ascii="Tahoma" w:hAnsi="Tahoma" w:cs="Tahoma"/>
          <w:sz w:val="19"/>
          <w:szCs w:val="19"/>
          <w:lang w:val="en-GB"/>
        </w:rPr>
        <w:t>elektr</w:t>
      </w:r>
      <w:r w:rsidR="00132E2D">
        <w:rPr>
          <w:rFonts w:ascii="Tahoma" w:hAnsi="Tahoma" w:cs="Tahoma"/>
          <w:sz w:val="19"/>
          <w:szCs w:val="19"/>
          <w:lang w:val="en-GB"/>
        </w:rPr>
        <w:t>o-</w:t>
      </w:r>
      <w:r w:rsidR="00A03902">
        <w:rPr>
          <w:rFonts w:ascii="Tahoma" w:hAnsi="Tahoma" w:cs="Tahoma"/>
          <w:sz w:val="19"/>
          <w:szCs w:val="19"/>
          <w:lang w:val="en-GB"/>
        </w:rPr>
        <w:t>otpad</w:t>
      </w:r>
      <w:r w:rsidRPr="000E7530">
        <w:rPr>
          <w:rFonts w:ascii="Tahoma" w:hAnsi="Tahoma" w:cs="Tahoma"/>
          <w:sz w:val="19"/>
          <w:szCs w:val="19"/>
          <w:lang w:val="en-GB"/>
        </w:rPr>
        <w:t xml:space="preserve">: </w:t>
      </w:r>
      <w:r w:rsidR="00A03902">
        <w:rPr>
          <w:rFonts w:ascii="Tahoma" w:hAnsi="Tahoma" w:cs="Tahoma"/>
          <w:sz w:val="19"/>
          <w:szCs w:val="19"/>
          <w:lang w:val="en-GB"/>
        </w:rPr>
        <w:t>materijali za izolaciju, žice i dr</w:t>
      </w:r>
      <w:proofErr w:type="gramStart"/>
      <w:r w:rsidRPr="000E7530">
        <w:rPr>
          <w:rFonts w:ascii="Tahoma" w:hAnsi="Tahoma" w:cs="Tahoma"/>
          <w:sz w:val="19"/>
          <w:szCs w:val="19"/>
          <w:lang w:val="en-GB"/>
        </w:rPr>
        <w:t>.;</w:t>
      </w:r>
      <w:proofErr w:type="gramEnd"/>
    </w:p>
    <w:p w:rsidR="006C7440" w:rsidRPr="000E7530" w:rsidRDefault="006C7440" w:rsidP="00132E2D">
      <w:pPr>
        <w:autoSpaceDE w:val="0"/>
        <w:autoSpaceDN w:val="0"/>
        <w:adjustRightInd w:val="0"/>
        <w:spacing w:after="4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r w:rsidRPr="000E7530">
        <w:rPr>
          <w:rFonts w:ascii="Tahoma" w:hAnsi="Tahoma" w:cs="Tahoma"/>
          <w:sz w:val="19"/>
          <w:szCs w:val="19"/>
          <w:lang w:val="en-GB"/>
        </w:rPr>
        <w:t xml:space="preserve">7. </w:t>
      </w:r>
      <w:proofErr w:type="gramStart"/>
      <w:r w:rsidRPr="000E7530">
        <w:rPr>
          <w:rFonts w:ascii="Tahoma" w:hAnsi="Tahoma" w:cs="Tahoma"/>
          <w:sz w:val="19"/>
          <w:szCs w:val="19"/>
          <w:lang w:val="en-GB"/>
        </w:rPr>
        <w:t>sanitar</w:t>
      </w:r>
      <w:r w:rsidR="00A03902">
        <w:rPr>
          <w:rFonts w:ascii="Tahoma" w:hAnsi="Tahoma" w:cs="Tahoma"/>
          <w:sz w:val="19"/>
          <w:szCs w:val="19"/>
          <w:lang w:val="en-GB"/>
        </w:rPr>
        <w:t>ni</w:t>
      </w:r>
      <w:proofErr w:type="gramEnd"/>
      <w:r w:rsidR="00A03902">
        <w:rPr>
          <w:rFonts w:ascii="Tahoma" w:hAnsi="Tahoma" w:cs="Tahoma"/>
          <w:sz w:val="19"/>
          <w:szCs w:val="19"/>
          <w:lang w:val="en-GB"/>
        </w:rPr>
        <w:t xml:space="preserve"> matrijali</w:t>
      </w:r>
      <w:r w:rsidRPr="000E7530">
        <w:rPr>
          <w:rFonts w:ascii="Tahoma" w:hAnsi="Tahoma" w:cs="Tahoma"/>
          <w:sz w:val="19"/>
          <w:szCs w:val="19"/>
          <w:lang w:val="en-GB"/>
        </w:rPr>
        <w:t xml:space="preserve">: </w:t>
      </w:r>
      <w:r w:rsidR="00A03902">
        <w:rPr>
          <w:rFonts w:ascii="Tahoma" w:hAnsi="Tahoma" w:cs="Tahoma"/>
          <w:sz w:val="19"/>
          <w:szCs w:val="19"/>
          <w:lang w:val="en-GB"/>
        </w:rPr>
        <w:t>keramički lavaboi, wc šolje</w:t>
      </w:r>
    </w:p>
    <w:p w:rsidR="006C7440" w:rsidRPr="000E7530" w:rsidRDefault="006C7440" w:rsidP="00132E2D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r w:rsidRPr="000E7530">
        <w:rPr>
          <w:rFonts w:ascii="Tahoma" w:hAnsi="Tahoma" w:cs="Tahoma"/>
          <w:sz w:val="19"/>
          <w:szCs w:val="19"/>
          <w:lang w:val="en-GB"/>
        </w:rPr>
        <w:t xml:space="preserve">8. </w:t>
      </w:r>
      <w:proofErr w:type="gramStart"/>
      <w:r w:rsidR="00A03902">
        <w:rPr>
          <w:rFonts w:ascii="Tahoma" w:hAnsi="Tahoma" w:cs="Tahoma"/>
          <w:sz w:val="19"/>
          <w:szCs w:val="19"/>
          <w:lang w:val="en-GB"/>
        </w:rPr>
        <w:t>azbestni</w:t>
      </w:r>
      <w:proofErr w:type="gramEnd"/>
      <w:r w:rsidR="00A03902">
        <w:rPr>
          <w:rFonts w:ascii="Tahoma" w:hAnsi="Tahoma" w:cs="Tahoma"/>
          <w:sz w:val="19"/>
          <w:szCs w:val="19"/>
          <w:lang w:val="en-GB"/>
        </w:rPr>
        <w:t xml:space="preserve"> otpad</w:t>
      </w:r>
      <w:r w:rsidRPr="000E7530">
        <w:rPr>
          <w:rFonts w:ascii="Tahoma" w:hAnsi="Tahoma" w:cs="Tahoma"/>
          <w:sz w:val="19"/>
          <w:szCs w:val="19"/>
          <w:lang w:val="en-GB"/>
        </w:rPr>
        <w:t>.</w:t>
      </w:r>
    </w:p>
    <w:p w:rsidR="006C7440" w:rsidRPr="000E7530" w:rsidRDefault="00A03902" w:rsidP="00132E2D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r>
        <w:rPr>
          <w:rFonts w:ascii="Tahoma" w:hAnsi="Tahoma" w:cs="Tahoma"/>
          <w:sz w:val="19"/>
          <w:szCs w:val="19"/>
          <w:lang w:val="en-GB"/>
        </w:rPr>
        <w:t>U toku izvođenja radova, proizvodi se pretežno građevinski</w:t>
      </w:r>
      <w:r w:rsidR="00956693">
        <w:rPr>
          <w:rFonts w:ascii="Tahoma" w:hAnsi="Tahoma" w:cs="Tahoma"/>
          <w:sz w:val="19"/>
          <w:szCs w:val="19"/>
          <w:lang w:val="en-GB"/>
        </w:rPr>
        <w:t xml:space="preserve"> otpad </w:t>
      </w:r>
      <w:proofErr w:type="gramStart"/>
      <w:r w:rsidR="00956693">
        <w:rPr>
          <w:rFonts w:ascii="Tahoma" w:hAnsi="Tahoma" w:cs="Tahoma"/>
          <w:sz w:val="19"/>
          <w:szCs w:val="19"/>
          <w:lang w:val="en-GB"/>
        </w:rPr>
        <w:t>od</w:t>
      </w:r>
      <w:proofErr w:type="gramEnd"/>
      <w:r w:rsidR="00956693">
        <w:rPr>
          <w:rFonts w:ascii="Tahoma" w:hAnsi="Tahoma" w:cs="Tahoma"/>
          <w:sz w:val="19"/>
          <w:szCs w:val="19"/>
          <w:lang w:val="en-GB"/>
        </w:rPr>
        <w:t xml:space="preserve"> rušenja</w:t>
      </w:r>
      <w:r>
        <w:rPr>
          <w:rFonts w:ascii="Tahoma" w:hAnsi="Tahoma" w:cs="Tahoma"/>
          <w:sz w:val="19"/>
          <w:szCs w:val="19"/>
          <w:lang w:val="en-GB"/>
        </w:rPr>
        <w:t>, nešto štetnog opada kao što su završni slojevi boja, hidraulična ulja i dr., kao i manje količine komunalnog otpada</w:t>
      </w:r>
      <w:r w:rsidR="000E7530">
        <w:rPr>
          <w:rFonts w:ascii="Tahoma" w:hAnsi="Tahoma" w:cs="Tahoma"/>
          <w:sz w:val="19"/>
          <w:szCs w:val="19"/>
          <w:lang w:val="en-GB"/>
        </w:rPr>
        <w:t xml:space="preserve">. </w:t>
      </w:r>
      <w:r>
        <w:rPr>
          <w:rFonts w:ascii="Tahoma" w:hAnsi="Tahoma" w:cs="Tahoma"/>
          <w:sz w:val="19"/>
          <w:szCs w:val="19"/>
          <w:lang w:val="en-GB"/>
        </w:rPr>
        <w:t xml:space="preserve">Za otpad generisan </w:t>
      </w:r>
      <w:proofErr w:type="gramStart"/>
      <w:r>
        <w:rPr>
          <w:rFonts w:ascii="Tahoma" w:hAnsi="Tahoma" w:cs="Tahoma"/>
          <w:sz w:val="19"/>
          <w:szCs w:val="19"/>
          <w:lang w:val="en-GB"/>
        </w:rPr>
        <w:t>na</w:t>
      </w:r>
      <w:proofErr w:type="gramEnd"/>
      <w:r>
        <w:rPr>
          <w:rFonts w:ascii="Tahoma" w:hAnsi="Tahoma" w:cs="Tahoma"/>
          <w:sz w:val="19"/>
          <w:szCs w:val="19"/>
          <w:lang w:val="en-GB"/>
        </w:rPr>
        <w:t xml:space="preserve"> ovaj način se ne očekuje da će imati značajan uticaj na životnu sredinu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. </w:t>
      </w:r>
      <w:r>
        <w:rPr>
          <w:rFonts w:ascii="Tahoma" w:hAnsi="Tahoma" w:cs="Tahoma"/>
          <w:sz w:val="19"/>
          <w:szCs w:val="19"/>
          <w:lang w:val="en-GB"/>
        </w:rPr>
        <w:t xml:space="preserve">Predviđeni radovi po osnovu projekta </w:t>
      </w:r>
      <w:proofErr w:type="gramStart"/>
      <w:r>
        <w:rPr>
          <w:rFonts w:ascii="Tahoma" w:hAnsi="Tahoma" w:cs="Tahoma"/>
          <w:sz w:val="19"/>
          <w:szCs w:val="19"/>
          <w:lang w:val="en-GB"/>
        </w:rPr>
        <w:t>će</w:t>
      </w:r>
      <w:proofErr w:type="gramEnd"/>
      <w:r>
        <w:rPr>
          <w:rFonts w:ascii="Tahoma" w:hAnsi="Tahoma" w:cs="Tahoma"/>
          <w:sz w:val="19"/>
          <w:szCs w:val="19"/>
          <w:lang w:val="en-GB"/>
        </w:rPr>
        <w:t xml:space="preserve"> generis</w:t>
      </w:r>
      <w:r w:rsidR="00956693">
        <w:rPr>
          <w:rFonts w:ascii="Tahoma" w:hAnsi="Tahoma" w:cs="Tahoma"/>
          <w:sz w:val="19"/>
          <w:szCs w:val="19"/>
          <w:lang w:val="en-GB"/>
        </w:rPr>
        <w:t>ati</w:t>
      </w:r>
      <w:r>
        <w:rPr>
          <w:rFonts w:ascii="Tahoma" w:hAnsi="Tahoma" w:cs="Tahoma"/>
          <w:sz w:val="19"/>
          <w:szCs w:val="19"/>
          <w:lang w:val="en-GB"/>
        </w:rPr>
        <w:t xml:space="preserve"> nekoliko tipova otpada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. </w:t>
      </w:r>
      <w:r>
        <w:rPr>
          <w:rFonts w:ascii="Tahoma" w:hAnsi="Tahoma" w:cs="Tahoma"/>
          <w:sz w:val="19"/>
          <w:szCs w:val="19"/>
          <w:lang w:val="en-GB"/>
        </w:rPr>
        <w:t xml:space="preserve">Ovi tipovi otpada su klasifikovani u skladu </w:t>
      </w:r>
      <w:proofErr w:type="gramStart"/>
      <w:r>
        <w:rPr>
          <w:rFonts w:ascii="Tahoma" w:hAnsi="Tahoma" w:cs="Tahoma"/>
          <w:sz w:val="19"/>
          <w:szCs w:val="19"/>
          <w:lang w:val="en-GB"/>
        </w:rPr>
        <w:t>sa</w:t>
      </w:r>
      <w:proofErr w:type="gramEnd"/>
      <w:r>
        <w:rPr>
          <w:rFonts w:ascii="Tahoma" w:hAnsi="Tahoma" w:cs="Tahoma"/>
          <w:sz w:val="19"/>
          <w:szCs w:val="19"/>
          <w:lang w:val="en-GB"/>
        </w:rPr>
        <w:t xml:space="preserve"> Evropskim katalogom otpada i </w:t>
      </w:r>
      <w:r w:rsidR="00956693">
        <w:rPr>
          <w:rFonts w:ascii="Tahoma" w:hAnsi="Tahoma" w:cs="Tahoma"/>
          <w:sz w:val="19"/>
          <w:szCs w:val="19"/>
          <w:lang w:val="en-GB"/>
        </w:rPr>
        <w:t>Popisom</w:t>
      </w:r>
      <w:r>
        <w:rPr>
          <w:rFonts w:ascii="Tahoma" w:hAnsi="Tahoma" w:cs="Tahoma"/>
          <w:sz w:val="19"/>
          <w:szCs w:val="19"/>
          <w:lang w:val="en-GB"/>
        </w:rPr>
        <w:t xml:space="preserve"> opasnog otpada, s obzirom da je Republika Srbija izvršila harmonizaciju zakonodavst</w:t>
      </w:r>
      <w:r w:rsidR="009D7A08">
        <w:rPr>
          <w:rFonts w:ascii="Tahoma" w:hAnsi="Tahoma" w:cs="Tahoma"/>
          <w:sz w:val="19"/>
          <w:szCs w:val="19"/>
          <w:lang w:val="en-GB"/>
        </w:rPr>
        <w:t>v</w:t>
      </w:r>
      <w:r>
        <w:rPr>
          <w:rFonts w:ascii="Tahoma" w:hAnsi="Tahoma" w:cs="Tahoma"/>
          <w:sz w:val="19"/>
          <w:szCs w:val="19"/>
          <w:lang w:val="en-GB"/>
        </w:rPr>
        <w:t>a</w:t>
      </w:r>
      <w:r w:rsidR="009D7A08">
        <w:rPr>
          <w:rFonts w:ascii="Tahoma" w:hAnsi="Tahoma" w:cs="Tahoma"/>
          <w:sz w:val="19"/>
          <w:szCs w:val="19"/>
          <w:lang w:val="en-GB"/>
        </w:rPr>
        <w:t xml:space="preserve"> u vezi upravljanja otpadom sa zakonodavstvom Evropske unije</w:t>
      </w:r>
      <w:r w:rsidR="00956693">
        <w:rPr>
          <w:rFonts w:ascii="Tahoma" w:hAnsi="Tahoma" w:cs="Tahoma"/>
          <w:sz w:val="19"/>
          <w:szCs w:val="19"/>
          <w:lang w:val="en-GB"/>
        </w:rPr>
        <w:t>.</w:t>
      </w:r>
    </w:p>
    <w:p w:rsidR="00E60FE0" w:rsidRPr="000E7530" w:rsidRDefault="009D7A08" w:rsidP="00132E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ahoma" w:hAnsi="Tahoma" w:cs="Tahoma"/>
          <w:sz w:val="19"/>
          <w:szCs w:val="19"/>
          <w:lang w:val="en-GB"/>
        </w:rPr>
      </w:pPr>
      <w:r>
        <w:rPr>
          <w:rFonts w:ascii="Tahoma" w:hAnsi="Tahoma" w:cs="Tahoma"/>
          <w:sz w:val="19"/>
          <w:szCs w:val="19"/>
          <w:lang w:val="en-GB"/>
        </w:rPr>
        <w:t>Otpad iz proizvodnje,</w:t>
      </w:r>
      <w:r w:rsidR="00E60FE0">
        <w:rPr>
          <w:rFonts w:ascii="Tahoma" w:hAnsi="Tahoma" w:cs="Tahoma"/>
          <w:sz w:val="19"/>
          <w:szCs w:val="19"/>
          <w:lang w:val="en-GB"/>
        </w:rPr>
        <w:t xml:space="preserve"> formulacije, snabdevanja i upotrebe premaza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  (</w:t>
      </w:r>
      <w:r w:rsidR="00E60FE0">
        <w:rPr>
          <w:rFonts w:ascii="Tahoma" w:hAnsi="Tahoma" w:cs="Tahoma"/>
          <w:sz w:val="19"/>
          <w:szCs w:val="19"/>
          <w:lang w:val="en-GB"/>
        </w:rPr>
        <w:t>boje, lakovi i staklene glazure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), </w:t>
      </w:r>
      <w:r w:rsidR="00E60FE0">
        <w:rPr>
          <w:rFonts w:ascii="Tahoma" w:hAnsi="Tahoma" w:cs="Tahoma"/>
          <w:sz w:val="19"/>
          <w:szCs w:val="19"/>
          <w:lang w:val="en-GB"/>
        </w:rPr>
        <w:t>zaptivači i štampar</w:t>
      </w:r>
      <w:r w:rsidR="00956693">
        <w:rPr>
          <w:rFonts w:ascii="Tahoma" w:hAnsi="Tahoma" w:cs="Tahoma"/>
          <w:sz w:val="19"/>
          <w:szCs w:val="19"/>
          <w:lang w:val="en-GB"/>
        </w:rPr>
        <w:t>s</w:t>
      </w:r>
      <w:r w:rsidR="00E60FE0">
        <w:rPr>
          <w:rFonts w:ascii="Tahoma" w:hAnsi="Tahoma" w:cs="Tahoma"/>
          <w:sz w:val="19"/>
          <w:szCs w:val="19"/>
          <w:lang w:val="en-GB"/>
        </w:rPr>
        <w:t>ke boje</w:t>
      </w:r>
    </w:p>
    <w:p w:rsidR="006C7440" w:rsidRPr="000E7530" w:rsidRDefault="00E60FE0" w:rsidP="00132E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ahoma" w:hAnsi="Tahoma" w:cs="Tahoma"/>
          <w:sz w:val="19"/>
          <w:szCs w:val="19"/>
          <w:lang w:val="en-GB"/>
        </w:rPr>
      </w:pPr>
      <w:r>
        <w:rPr>
          <w:rFonts w:ascii="Tahoma" w:hAnsi="Tahoma" w:cs="Tahoma"/>
          <w:sz w:val="19"/>
          <w:szCs w:val="19"/>
          <w:lang w:val="en-GB"/>
        </w:rPr>
        <w:t>Uljni otpad i otpadi tečnih goriva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>s</w:t>
      </w:r>
    </w:p>
    <w:p w:rsidR="006C7440" w:rsidRPr="000E7530" w:rsidRDefault="00E60FE0" w:rsidP="00132E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ahoma" w:hAnsi="Tahoma" w:cs="Tahoma"/>
          <w:sz w:val="19"/>
          <w:szCs w:val="19"/>
          <w:lang w:val="en-GB"/>
        </w:rPr>
      </w:pPr>
      <w:r>
        <w:rPr>
          <w:rFonts w:ascii="Tahoma" w:hAnsi="Tahoma" w:cs="Tahoma"/>
          <w:sz w:val="19"/>
          <w:szCs w:val="19"/>
          <w:lang w:val="en-GB"/>
        </w:rPr>
        <w:t>Pakovanja za otpad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 </w:t>
      </w:r>
      <w:r>
        <w:rPr>
          <w:rFonts w:ascii="Tahoma" w:hAnsi="Tahoma" w:cs="Tahoma"/>
          <w:sz w:val="19"/>
          <w:szCs w:val="19"/>
          <w:lang w:val="en-GB"/>
        </w:rPr>
        <w:t>apsorbenti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, </w:t>
      </w:r>
      <w:r>
        <w:rPr>
          <w:rFonts w:ascii="Tahoma" w:hAnsi="Tahoma" w:cs="Tahoma"/>
          <w:sz w:val="19"/>
          <w:szCs w:val="19"/>
          <w:lang w:val="en-GB"/>
        </w:rPr>
        <w:t>krpe za brisanje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>, filter</w:t>
      </w:r>
      <w:r>
        <w:rPr>
          <w:rFonts w:ascii="Tahoma" w:hAnsi="Tahoma" w:cs="Tahoma"/>
          <w:sz w:val="19"/>
          <w:szCs w:val="19"/>
          <w:lang w:val="en-GB"/>
        </w:rPr>
        <w:t>ski materijal i zaštitna odeća koja nije precizirana na drugi način</w:t>
      </w:r>
    </w:p>
    <w:p w:rsidR="006C7440" w:rsidRDefault="00E60FE0" w:rsidP="00132E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ahoma" w:hAnsi="Tahoma" w:cs="Tahoma"/>
          <w:sz w:val="19"/>
          <w:szCs w:val="19"/>
          <w:lang w:val="en-GB"/>
        </w:rPr>
      </w:pPr>
      <w:r>
        <w:rPr>
          <w:rFonts w:ascii="Tahoma" w:hAnsi="Tahoma" w:cs="Tahoma"/>
          <w:sz w:val="19"/>
          <w:szCs w:val="19"/>
          <w:lang w:val="en-GB"/>
        </w:rPr>
        <w:t>Građevinski i otpad od rušenja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 (</w:t>
      </w:r>
      <w:r>
        <w:rPr>
          <w:rFonts w:ascii="Tahoma" w:hAnsi="Tahoma" w:cs="Tahoma"/>
          <w:sz w:val="19"/>
          <w:szCs w:val="19"/>
          <w:lang w:val="en-GB"/>
        </w:rPr>
        <w:t>ukjučujući i zemlju iz iskopa sa kontaminiranih lokacija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>)</w:t>
      </w:r>
    </w:p>
    <w:p w:rsidR="00E60FE0" w:rsidRPr="000E7530" w:rsidRDefault="00E60FE0" w:rsidP="00132E2D">
      <w:pPr>
        <w:pStyle w:val="ListParagraph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ahoma" w:hAnsi="Tahoma" w:cs="Tahoma"/>
          <w:sz w:val="19"/>
          <w:szCs w:val="19"/>
          <w:lang w:val="en-GB"/>
        </w:rPr>
      </w:pPr>
      <w:r w:rsidRPr="00132E2D">
        <w:rPr>
          <w:rFonts w:ascii="Tahoma" w:hAnsi="Tahoma" w:cs="Tahoma"/>
          <w:sz w:val="19"/>
          <w:szCs w:val="19"/>
          <w:lang w:val="en-GB"/>
        </w:rPr>
        <w:t>Komunalni otpad</w:t>
      </w:r>
      <w:r w:rsidR="006C7440" w:rsidRPr="00132E2D">
        <w:rPr>
          <w:rFonts w:ascii="Tahoma" w:hAnsi="Tahoma" w:cs="Tahoma"/>
          <w:sz w:val="19"/>
          <w:szCs w:val="19"/>
          <w:lang w:val="en-GB"/>
        </w:rPr>
        <w:t xml:space="preserve"> (</w:t>
      </w:r>
      <w:r w:rsidRPr="00132E2D">
        <w:rPr>
          <w:rFonts w:ascii="Tahoma" w:hAnsi="Tahoma" w:cs="Tahoma"/>
          <w:sz w:val="19"/>
          <w:szCs w:val="19"/>
          <w:lang w:val="en-GB"/>
        </w:rPr>
        <w:t xml:space="preserve">kućni otpad </w:t>
      </w:r>
      <w:proofErr w:type="gramStart"/>
      <w:r w:rsidRPr="00132E2D">
        <w:rPr>
          <w:rFonts w:ascii="Tahoma" w:hAnsi="Tahoma" w:cs="Tahoma"/>
          <w:sz w:val="19"/>
          <w:szCs w:val="19"/>
          <w:lang w:val="en-GB"/>
        </w:rPr>
        <w:t>ili</w:t>
      </w:r>
      <w:proofErr w:type="gramEnd"/>
      <w:r w:rsidRPr="00132E2D">
        <w:rPr>
          <w:rFonts w:ascii="Tahoma" w:hAnsi="Tahoma" w:cs="Tahoma"/>
          <w:sz w:val="19"/>
          <w:szCs w:val="19"/>
          <w:lang w:val="en-GB"/>
        </w:rPr>
        <w:t xml:space="preserve"> sliča</w:t>
      </w:r>
      <w:r w:rsidR="00956693">
        <w:rPr>
          <w:rFonts w:ascii="Tahoma" w:hAnsi="Tahoma" w:cs="Tahoma"/>
          <w:sz w:val="19"/>
          <w:szCs w:val="19"/>
          <w:lang w:val="en-GB"/>
        </w:rPr>
        <w:t>n</w:t>
      </w:r>
      <w:r w:rsidRPr="00132E2D">
        <w:rPr>
          <w:rFonts w:ascii="Tahoma" w:hAnsi="Tahoma" w:cs="Tahoma"/>
          <w:sz w:val="19"/>
          <w:szCs w:val="19"/>
          <w:lang w:val="en-GB"/>
        </w:rPr>
        <w:t xml:space="preserve"> komercijlani otpad, industrijski i institucionalni otpad</w:t>
      </w:r>
      <w:r w:rsidR="006C7440" w:rsidRPr="00132E2D">
        <w:rPr>
          <w:rFonts w:ascii="Tahoma" w:hAnsi="Tahoma" w:cs="Tahoma"/>
          <w:sz w:val="19"/>
          <w:szCs w:val="19"/>
          <w:lang w:val="en-GB"/>
        </w:rPr>
        <w:t>)</w:t>
      </w:r>
      <w:r w:rsidRPr="00132E2D">
        <w:rPr>
          <w:rFonts w:ascii="Tahoma" w:hAnsi="Tahoma" w:cs="Tahoma"/>
          <w:sz w:val="19"/>
          <w:szCs w:val="19"/>
          <w:lang w:val="en-GB"/>
        </w:rPr>
        <w:t>, uključjući posebno prikupljene frakcije</w:t>
      </w:r>
      <w:r>
        <w:rPr>
          <w:rFonts w:ascii="Tahoma" w:hAnsi="Tahoma" w:cs="Tahoma"/>
          <w:sz w:val="19"/>
          <w:szCs w:val="19"/>
          <w:lang w:val="en-GB"/>
        </w:rPr>
        <w:t>.</w:t>
      </w:r>
    </w:p>
    <w:p w:rsidR="00AA745C" w:rsidRPr="00132E2D" w:rsidRDefault="00E60FE0" w:rsidP="00132E2D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r>
        <w:rPr>
          <w:rFonts w:ascii="Tahoma" w:hAnsi="Tahoma" w:cs="Tahoma"/>
          <w:sz w:val="19"/>
          <w:szCs w:val="19"/>
          <w:lang w:val="en-GB"/>
        </w:rPr>
        <w:t xml:space="preserve">Očekuje se stvaranje manjih količina </w:t>
      </w:r>
      <w:r w:rsidR="003B3C1E">
        <w:rPr>
          <w:rFonts w:ascii="Tahoma" w:hAnsi="Tahoma" w:cs="Tahoma"/>
          <w:sz w:val="19"/>
          <w:szCs w:val="19"/>
          <w:lang w:val="en-GB"/>
        </w:rPr>
        <w:t>opasnog</w:t>
      </w:r>
      <w:r>
        <w:rPr>
          <w:rFonts w:ascii="Tahoma" w:hAnsi="Tahoma" w:cs="Tahoma"/>
          <w:sz w:val="19"/>
          <w:szCs w:val="19"/>
          <w:lang w:val="en-GB"/>
        </w:rPr>
        <w:t xml:space="preserve"> otpada koji je potrebno odvojiti </w:t>
      </w:r>
      <w:proofErr w:type="gramStart"/>
      <w:r>
        <w:rPr>
          <w:rFonts w:ascii="Tahoma" w:hAnsi="Tahoma" w:cs="Tahoma"/>
          <w:sz w:val="19"/>
          <w:szCs w:val="19"/>
          <w:lang w:val="en-GB"/>
        </w:rPr>
        <w:t>od</w:t>
      </w:r>
      <w:proofErr w:type="gramEnd"/>
      <w:r>
        <w:rPr>
          <w:rFonts w:ascii="Tahoma" w:hAnsi="Tahoma" w:cs="Tahoma"/>
          <w:sz w:val="19"/>
          <w:szCs w:val="19"/>
          <w:lang w:val="en-GB"/>
        </w:rPr>
        <w:t xml:space="preserve"> neopasnog komunalnog otpada</w:t>
      </w:r>
      <w:r w:rsidR="006C7440" w:rsidRPr="00132E2D">
        <w:rPr>
          <w:rFonts w:ascii="Tahoma" w:hAnsi="Tahoma" w:cs="Tahoma"/>
          <w:sz w:val="19"/>
          <w:szCs w:val="19"/>
          <w:lang w:val="en-GB"/>
        </w:rPr>
        <w:t xml:space="preserve">. </w:t>
      </w:r>
      <w:proofErr w:type="gramStart"/>
      <w:r>
        <w:rPr>
          <w:rFonts w:ascii="Tahoma" w:hAnsi="Tahoma" w:cs="Tahoma"/>
          <w:sz w:val="19"/>
          <w:szCs w:val="19"/>
          <w:lang w:val="en-GB"/>
        </w:rPr>
        <w:t xml:space="preserve">U slučaju </w:t>
      </w:r>
      <w:r w:rsidR="003B3C1E">
        <w:rPr>
          <w:rFonts w:ascii="Tahoma" w:hAnsi="Tahoma" w:cs="Tahoma"/>
          <w:sz w:val="19"/>
          <w:szCs w:val="19"/>
          <w:lang w:val="en-GB"/>
        </w:rPr>
        <w:t>opasnog otpada, izvođač radova je dužan da poštuje proc</w:t>
      </w:r>
      <w:r w:rsidR="00956693">
        <w:rPr>
          <w:rFonts w:ascii="Tahoma" w:hAnsi="Tahoma" w:cs="Tahoma"/>
          <w:sz w:val="19"/>
          <w:szCs w:val="19"/>
          <w:lang w:val="en-GB"/>
        </w:rPr>
        <w:t>e</w:t>
      </w:r>
      <w:r w:rsidR="003B3C1E">
        <w:rPr>
          <w:rFonts w:ascii="Tahoma" w:hAnsi="Tahoma" w:cs="Tahoma"/>
          <w:sz w:val="19"/>
          <w:szCs w:val="19"/>
          <w:lang w:val="en-GB"/>
        </w:rPr>
        <w:t>duru za upravljanje op</w:t>
      </w:r>
      <w:r w:rsidR="00956693">
        <w:rPr>
          <w:rFonts w:ascii="Tahoma" w:hAnsi="Tahoma" w:cs="Tahoma"/>
          <w:sz w:val="19"/>
          <w:szCs w:val="19"/>
          <w:lang w:val="en-GB"/>
        </w:rPr>
        <w:t>a</w:t>
      </w:r>
      <w:r w:rsidR="003B3C1E">
        <w:rPr>
          <w:rFonts w:ascii="Tahoma" w:hAnsi="Tahoma" w:cs="Tahoma"/>
          <w:sz w:val="19"/>
          <w:szCs w:val="19"/>
          <w:lang w:val="en-GB"/>
        </w:rPr>
        <w:t>snim otpadom, što podrazumeva skuplanje i predaju otpada ovlašćenoj firmi koja se bavi uparvljanjem opasnim otpadom, kao i da popuni propratnu dokumentaciju.</w:t>
      </w:r>
      <w:proofErr w:type="gramEnd"/>
      <w:r w:rsidR="00910A65" w:rsidRPr="00132E2D">
        <w:rPr>
          <w:rFonts w:ascii="Tahoma" w:hAnsi="Tahoma" w:cs="Tahoma"/>
          <w:sz w:val="19"/>
          <w:szCs w:val="19"/>
          <w:lang w:val="en-GB"/>
        </w:rPr>
        <w:t xml:space="preserve"> </w:t>
      </w:r>
    </w:p>
    <w:p w:rsidR="006C7440" w:rsidRPr="000E7530" w:rsidRDefault="003B3C1E" w:rsidP="00132E2D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r>
        <w:rPr>
          <w:rFonts w:ascii="Tahoma" w:hAnsi="Tahoma" w:cs="Tahoma"/>
          <w:sz w:val="19"/>
          <w:szCs w:val="19"/>
          <w:lang w:val="en-GB"/>
        </w:rPr>
        <w:t>Različiti tipovi otpada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 (</w:t>
      </w:r>
      <w:r w:rsidR="00132E2D">
        <w:rPr>
          <w:rFonts w:ascii="Tahoma" w:hAnsi="Tahoma" w:cs="Tahoma"/>
          <w:sz w:val="19"/>
          <w:szCs w:val="19"/>
          <w:lang w:val="en-GB"/>
        </w:rPr>
        <w:t>plastična i staklena ambalaža, elektro-otpad, višak ulja) za koje lokalno ne postoji poseban sistem sakuplanja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/ </w:t>
      </w:r>
      <w:r w:rsidR="00132E2D">
        <w:rPr>
          <w:rFonts w:ascii="Tahoma" w:hAnsi="Tahoma" w:cs="Tahoma"/>
          <w:sz w:val="19"/>
          <w:szCs w:val="19"/>
          <w:lang w:val="en-GB"/>
        </w:rPr>
        <w:t xml:space="preserve">reciklaže, treba da budu odvojeni </w:t>
      </w:r>
      <w:proofErr w:type="gramStart"/>
      <w:r w:rsidR="00132E2D">
        <w:rPr>
          <w:rFonts w:ascii="Tahoma" w:hAnsi="Tahoma" w:cs="Tahoma"/>
          <w:sz w:val="19"/>
          <w:szCs w:val="19"/>
          <w:lang w:val="en-GB"/>
        </w:rPr>
        <w:t>od</w:t>
      </w:r>
      <w:proofErr w:type="gramEnd"/>
      <w:r w:rsidR="00132E2D">
        <w:rPr>
          <w:rFonts w:ascii="Tahoma" w:hAnsi="Tahoma" w:cs="Tahoma"/>
          <w:sz w:val="19"/>
          <w:szCs w:val="19"/>
          <w:lang w:val="en-GB"/>
        </w:rPr>
        <w:t xml:space="preserve"> nereciklažnog materijala i transportovan</w:t>
      </w:r>
      <w:r w:rsidR="00956693">
        <w:rPr>
          <w:rFonts w:ascii="Tahoma" w:hAnsi="Tahoma" w:cs="Tahoma"/>
          <w:sz w:val="19"/>
          <w:szCs w:val="19"/>
          <w:lang w:val="en-GB"/>
        </w:rPr>
        <w:t>i</w:t>
      </w:r>
      <w:r w:rsidR="00132E2D">
        <w:rPr>
          <w:rFonts w:ascii="Tahoma" w:hAnsi="Tahoma" w:cs="Tahoma"/>
          <w:sz w:val="19"/>
          <w:szCs w:val="19"/>
          <w:lang w:val="en-GB"/>
        </w:rPr>
        <w:t xml:space="preserve"> do odgovarajućih sabirnih lokacija uz pripadajuću dokumentaciju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. </w:t>
      </w:r>
      <w:r w:rsidR="00132E2D">
        <w:rPr>
          <w:rFonts w:ascii="Tahoma" w:hAnsi="Tahoma" w:cs="Tahoma"/>
          <w:sz w:val="19"/>
          <w:szCs w:val="19"/>
          <w:lang w:val="en-GB"/>
        </w:rPr>
        <w:t xml:space="preserve">Nereciklažni </w:t>
      </w:r>
      <w:proofErr w:type="gramStart"/>
      <w:r w:rsidR="00132E2D">
        <w:rPr>
          <w:rFonts w:ascii="Tahoma" w:hAnsi="Tahoma" w:cs="Tahoma"/>
          <w:sz w:val="19"/>
          <w:szCs w:val="19"/>
          <w:lang w:val="en-GB"/>
        </w:rPr>
        <w:t>otpad  treba</w:t>
      </w:r>
      <w:proofErr w:type="gramEnd"/>
      <w:r w:rsidR="00132E2D">
        <w:rPr>
          <w:rFonts w:ascii="Tahoma" w:hAnsi="Tahoma" w:cs="Tahoma"/>
          <w:sz w:val="19"/>
          <w:szCs w:val="19"/>
          <w:lang w:val="en-GB"/>
        </w:rPr>
        <w:t xml:space="preserve">  transportovati do odobrene deponije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>.</w:t>
      </w:r>
    </w:p>
    <w:p w:rsidR="006C7440" w:rsidRPr="000E7530" w:rsidRDefault="003B3C1E" w:rsidP="00132E2D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r>
        <w:rPr>
          <w:rFonts w:ascii="Tahoma" w:hAnsi="Tahoma" w:cs="Tahoma"/>
          <w:sz w:val="19"/>
          <w:szCs w:val="19"/>
          <w:lang w:val="en-GB"/>
        </w:rPr>
        <w:t>Gradilište treba potpuno očisti</w:t>
      </w:r>
      <w:r w:rsidR="00956693">
        <w:rPr>
          <w:rFonts w:ascii="Tahoma" w:hAnsi="Tahoma" w:cs="Tahoma"/>
          <w:sz w:val="19"/>
          <w:szCs w:val="19"/>
          <w:lang w:val="en-GB"/>
        </w:rPr>
        <w:t>ti</w:t>
      </w:r>
      <w:r w:rsidR="00132E2D">
        <w:rPr>
          <w:rFonts w:ascii="Tahoma" w:hAnsi="Tahoma" w:cs="Tahoma"/>
          <w:sz w:val="19"/>
          <w:szCs w:val="19"/>
          <w:lang w:val="en-GB"/>
        </w:rPr>
        <w:t>, a otpad nastao prilikom rušenja i sav drugi otad treba odložiti</w:t>
      </w:r>
      <w:r w:rsidR="00956693">
        <w:rPr>
          <w:rFonts w:ascii="Tahoma" w:hAnsi="Tahoma" w:cs="Tahoma"/>
          <w:sz w:val="19"/>
          <w:szCs w:val="19"/>
          <w:lang w:val="en-GB"/>
        </w:rPr>
        <w:t xml:space="preserve"> </w:t>
      </w:r>
      <w:r w:rsidR="00132E2D">
        <w:rPr>
          <w:rFonts w:ascii="Tahoma" w:hAnsi="Tahoma" w:cs="Tahoma"/>
          <w:sz w:val="19"/>
          <w:szCs w:val="19"/>
          <w:lang w:val="en-GB"/>
        </w:rPr>
        <w:t xml:space="preserve">u skladu </w:t>
      </w:r>
      <w:proofErr w:type="gramStart"/>
      <w:r w:rsidR="00132E2D">
        <w:rPr>
          <w:rFonts w:ascii="Tahoma" w:hAnsi="Tahoma" w:cs="Tahoma"/>
          <w:sz w:val="19"/>
          <w:szCs w:val="19"/>
          <w:lang w:val="en-GB"/>
        </w:rPr>
        <w:t>sa</w:t>
      </w:r>
      <w:proofErr w:type="gramEnd"/>
      <w:r w:rsidR="00132E2D">
        <w:rPr>
          <w:rFonts w:ascii="Tahoma" w:hAnsi="Tahoma" w:cs="Tahoma"/>
          <w:sz w:val="19"/>
          <w:szCs w:val="19"/>
          <w:lang w:val="en-GB"/>
        </w:rPr>
        <w:t xml:space="preserve"> navodima preciziranim u Predračunu radova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. </w:t>
      </w:r>
      <w:r w:rsidR="00132E2D">
        <w:rPr>
          <w:rFonts w:ascii="Tahoma" w:hAnsi="Tahoma" w:cs="Tahoma"/>
          <w:sz w:val="19"/>
          <w:szCs w:val="19"/>
          <w:lang w:val="en-GB"/>
        </w:rPr>
        <w:t xml:space="preserve">Paljenje </w:t>
      </w:r>
      <w:proofErr w:type="gramStart"/>
      <w:r w:rsidR="00132E2D">
        <w:rPr>
          <w:rFonts w:ascii="Tahoma" w:hAnsi="Tahoma" w:cs="Tahoma"/>
          <w:sz w:val="19"/>
          <w:szCs w:val="19"/>
          <w:lang w:val="en-GB"/>
        </w:rPr>
        <w:t>ili</w:t>
      </w:r>
      <w:proofErr w:type="gramEnd"/>
      <w:r w:rsidR="00132E2D">
        <w:rPr>
          <w:rFonts w:ascii="Tahoma" w:hAnsi="Tahoma" w:cs="Tahoma"/>
          <w:sz w:val="19"/>
          <w:szCs w:val="19"/>
          <w:lang w:val="en-GB"/>
        </w:rPr>
        <w:t xml:space="preserve"> </w:t>
      </w:r>
      <w:r w:rsidR="00956693">
        <w:rPr>
          <w:rFonts w:ascii="Tahoma" w:hAnsi="Tahoma" w:cs="Tahoma"/>
          <w:sz w:val="19"/>
          <w:szCs w:val="19"/>
          <w:lang w:val="en-GB"/>
        </w:rPr>
        <w:t>nezakonito</w:t>
      </w:r>
      <w:r w:rsidR="00132E2D">
        <w:rPr>
          <w:rFonts w:ascii="Tahoma" w:hAnsi="Tahoma" w:cs="Tahoma"/>
          <w:sz w:val="19"/>
          <w:szCs w:val="19"/>
          <w:lang w:val="en-GB"/>
        </w:rPr>
        <w:t xml:space="preserve"> odlaganje otpada je strog</w:t>
      </w:r>
      <w:r w:rsidR="00956693">
        <w:rPr>
          <w:rFonts w:ascii="Tahoma" w:hAnsi="Tahoma" w:cs="Tahoma"/>
          <w:sz w:val="19"/>
          <w:szCs w:val="19"/>
          <w:lang w:val="en-GB"/>
        </w:rPr>
        <w:t>o</w:t>
      </w:r>
      <w:r w:rsidR="00132E2D">
        <w:rPr>
          <w:rFonts w:ascii="Tahoma" w:hAnsi="Tahoma" w:cs="Tahoma"/>
          <w:sz w:val="19"/>
          <w:szCs w:val="19"/>
          <w:lang w:val="en-GB"/>
        </w:rPr>
        <w:t xml:space="preserve"> zabranjeno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>.</w:t>
      </w:r>
    </w:p>
    <w:p w:rsidR="00AA745C" w:rsidRPr="000E7530" w:rsidRDefault="00132E2D" w:rsidP="00132E2D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proofErr w:type="gramStart"/>
      <w:r>
        <w:rPr>
          <w:rFonts w:ascii="Tahoma" w:hAnsi="Tahoma" w:cs="Tahoma"/>
          <w:sz w:val="19"/>
          <w:szCs w:val="19"/>
          <w:lang w:val="en-GB"/>
        </w:rPr>
        <w:t>Komunalni i drugi otpad treba da bude sakupljen u kontjnerima specijalno dizajniranim za ovu svrhu i potrebno ga je redovno odvoziti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>.</w:t>
      </w:r>
      <w:proofErr w:type="gramEnd"/>
      <w:r w:rsidR="00910A65" w:rsidRPr="000E7530">
        <w:rPr>
          <w:rFonts w:ascii="Tahoma" w:hAnsi="Tahoma" w:cs="Tahoma"/>
          <w:sz w:val="19"/>
          <w:szCs w:val="19"/>
          <w:lang w:val="en-GB"/>
        </w:rPr>
        <w:t xml:space="preserve"> </w:t>
      </w:r>
    </w:p>
    <w:p w:rsidR="006C7440" w:rsidRPr="000E7530" w:rsidRDefault="0019120A" w:rsidP="00132E2D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proofErr w:type="gramStart"/>
      <w:r>
        <w:rPr>
          <w:rFonts w:ascii="Tahoma" w:hAnsi="Tahoma" w:cs="Tahoma"/>
          <w:sz w:val="19"/>
          <w:szCs w:val="19"/>
          <w:lang w:val="en-GB"/>
        </w:rPr>
        <w:t>Sav otpad mora da bude prikupljen i predat firmi ovlašćenoj za sakupljanje i trasport određenog tipa otpada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>.</w:t>
      </w:r>
      <w:proofErr w:type="gramEnd"/>
    </w:p>
    <w:p w:rsidR="00956D5E" w:rsidRPr="00956D5E" w:rsidRDefault="00956D5E" w:rsidP="00132E2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r>
        <w:rPr>
          <w:rFonts w:ascii="Tahoma" w:hAnsi="Tahoma" w:cs="Tahoma"/>
          <w:sz w:val="19"/>
          <w:szCs w:val="19"/>
          <w:lang w:val="en-GB"/>
        </w:rPr>
        <w:t>Otpad</w:t>
      </w:r>
      <w:r w:rsidR="00AA745C" w:rsidRPr="000E7530">
        <w:rPr>
          <w:rFonts w:ascii="Tahoma" w:hAnsi="Tahoma" w:cs="Tahoma"/>
          <w:sz w:val="19"/>
          <w:szCs w:val="19"/>
          <w:lang w:val="en-GB"/>
        </w:rPr>
        <w:t xml:space="preserve"> (</w:t>
      </w:r>
      <w:r>
        <w:rPr>
          <w:rFonts w:ascii="Tahoma" w:hAnsi="Tahoma" w:cs="Tahoma"/>
          <w:sz w:val="19"/>
          <w:szCs w:val="19"/>
          <w:lang w:val="en-GB"/>
        </w:rPr>
        <w:t>opasan i neopasan</w:t>
      </w:r>
      <w:r w:rsidR="00AA745C" w:rsidRPr="000E7530">
        <w:rPr>
          <w:rFonts w:ascii="Tahoma" w:hAnsi="Tahoma" w:cs="Tahoma"/>
          <w:sz w:val="19"/>
          <w:szCs w:val="19"/>
          <w:lang w:val="en-GB"/>
        </w:rPr>
        <w:t xml:space="preserve">) </w:t>
      </w:r>
      <w:r>
        <w:rPr>
          <w:rFonts w:ascii="Tahoma" w:hAnsi="Tahoma" w:cs="Tahoma"/>
          <w:sz w:val="19"/>
          <w:szCs w:val="19"/>
          <w:lang w:val="en-GB"/>
        </w:rPr>
        <w:t>mora da bud</w:t>
      </w:r>
      <w:r w:rsidR="00956693">
        <w:rPr>
          <w:rFonts w:ascii="Tahoma" w:hAnsi="Tahoma" w:cs="Tahoma"/>
          <w:sz w:val="19"/>
          <w:szCs w:val="19"/>
          <w:lang w:val="en-GB"/>
        </w:rPr>
        <w:t>e</w:t>
      </w:r>
      <w:r>
        <w:rPr>
          <w:rFonts w:ascii="Tahoma" w:hAnsi="Tahoma" w:cs="Tahoma"/>
          <w:sz w:val="19"/>
          <w:szCs w:val="19"/>
          <w:lang w:val="en-GB"/>
        </w:rPr>
        <w:t xml:space="preserve"> uskladišten posebno i sakupljen u skladu </w:t>
      </w:r>
      <w:proofErr w:type="gramStart"/>
      <w:r>
        <w:rPr>
          <w:rFonts w:ascii="Tahoma" w:hAnsi="Tahoma" w:cs="Tahoma"/>
          <w:sz w:val="19"/>
          <w:szCs w:val="19"/>
          <w:lang w:val="en-GB"/>
        </w:rPr>
        <w:t>sa</w:t>
      </w:r>
      <w:proofErr w:type="gramEnd"/>
      <w:r>
        <w:rPr>
          <w:rFonts w:ascii="Tahoma" w:hAnsi="Tahoma" w:cs="Tahoma"/>
          <w:sz w:val="19"/>
          <w:szCs w:val="19"/>
          <w:lang w:val="en-GB"/>
        </w:rPr>
        <w:t xml:space="preserve"> P</w:t>
      </w:r>
      <w:r w:rsidRPr="00956D5E">
        <w:rPr>
          <w:rFonts w:ascii="Tahoma" w:hAnsi="Tahoma" w:cs="Tahoma"/>
          <w:sz w:val="19"/>
          <w:szCs w:val="19"/>
          <w:lang w:val="en-GB"/>
        </w:rPr>
        <w:t>ravilnik</w:t>
      </w:r>
      <w:r>
        <w:rPr>
          <w:rFonts w:ascii="Tahoma" w:hAnsi="Tahoma" w:cs="Tahoma"/>
          <w:sz w:val="19"/>
          <w:szCs w:val="19"/>
          <w:lang w:val="en-GB"/>
        </w:rPr>
        <w:t xml:space="preserve">om </w:t>
      </w:r>
    </w:p>
    <w:p w:rsidR="00AA745C" w:rsidRPr="000E7530" w:rsidRDefault="00956D5E" w:rsidP="00132E2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proofErr w:type="gramStart"/>
      <w:r w:rsidRPr="00956D5E">
        <w:rPr>
          <w:rFonts w:ascii="Tahoma" w:hAnsi="Tahoma" w:cs="Tahoma"/>
          <w:sz w:val="19"/>
          <w:szCs w:val="19"/>
          <w:lang w:val="en-GB"/>
        </w:rPr>
        <w:t>o</w:t>
      </w:r>
      <w:proofErr w:type="gramEnd"/>
      <w:r w:rsidRPr="00956D5E">
        <w:rPr>
          <w:rFonts w:ascii="Tahoma" w:hAnsi="Tahoma" w:cs="Tahoma"/>
          <w:sz w:val="19"/>
          <w:szCs w:val="19"/>
          <w:lang w:val="en-GB"/>
        </w:rPr>
        <w:t xml:space="preserve"> kategorijama, ispitivanju i klasifikaciji </w:t>
      </w:r>
      <w:r w:rsidR="00AA745C" w:rsidRPr="000E7530">
        <w:rPr>
          <w:rFonts w:ascii="Tahoma" w:hAnsi="Tahoma" w:cs="Tahoma"/>
          <w:sz w:val="19"/>
          <w:szCs w:val="19"/>
          <w:lang w:val="en-GB"/>
        </w:rPr>
        <w:t>(</w:t>
      </w:r>
      <w:r>
        <w:rPr>
          <w:rFonts w:ascii="Tahoma" w:hAnsi="Tahoma" w:cs="Tahoma"/>
          <w:sz w:val="19"/>
          <w:szCs w:val="19"/>
          <w:lang w:val="en-GB"/>
        </w:rPr>
        <w:t>Službeni glasnik br.</w:t>
      </w:r>
      <w:r w:rsidR="00AA745C" w:rsidRPr="000E7530">
        <w:rPr>
          <w:rFonts w:ascii="Tahoma" w:hAnsi="Tahoma" w:cs="Tahoma"/>
          <w:sz w:val="19"/>
          <w:szCs w:val="19"/>
          <w:lang w:val="en-GB"/>
        </w:rPr>
        <w:t xml:space="preserve">50/05). </w:t>
      </w:r>
      <w:r>
        <w:rPr>
          <w:rFonts w:ascii="Tahoma" w:hAnsi="Tahoma" w:cs="Tahoma"/>
          <w:sz w:val="19"/>
          <w:szCs w:val="19"/>
          <w:lang w:val="en-GB"/>
        </w:rPr>
        <w:t>Opasan otpad</w:t>
      </w:r>
      <w:r w:rsidR="00AA745C" w:rsidRPr="000E7530">
        <w:rPr>
          <w:rFonts w:ascii="Tahoma" w:hAnsi="Tahoma" w:cs="Tahoma"/>
          <w:sz w:val="19"/>
          <w:szCs w:val="19"/>
          <w:lang w:val="en-GB"/>
        </w:rPr>
        <w:t xml:space="preserve"> (</w:t>
      </w:r>
      <w:r>
        <w:rPr>
          <w:rFonts w:ascii="Tahoma" w:hAnsi="Tahoma" w:cs="Tahoma"/>
          <w:sz w:val="19"/>
          <w:szCs w:val="19"/>
          <w:lang w:val="en-GB"/>
        </w:rPr>
        <w:t>koji uključuje tonere, električnu opremu i dr.</w:t>
      </w:r>
      <w:r w:rsidR="00AA745C" w:rsidRPr="000E7530">
        <w:rPr>
          <w:rFonts w:ascii="Tahoma" w:hAnsi="Tahoma" w:cs="Tahoma"/>
          <w:sz w:val="19"/>
          <w:szCs w:val="19"/>
          <w:lang w:val="en-GB"/>
        </w:rPr>
        <w:t>)</w:t>
      </w:r>
      <w:r>
        <w:rPr>
          <w:rFonts w:ascii="Tahoma" w:hAnsi="Tahoma" w:cs="Tahoma"/>
          <w:sz w:val="19"/>
          <w:szCs w:val="19"/>
          <w:lang w:val="en-GB"/>
        </w:rPr>
        <w:t xml:space="preserve">, može biti uskladišten </w:t>
      </w:r>
      <w:proofErr w:type="gramStart"/>
      <w:r>
        <w:rPr>
          <w:rFonts w:ascii="Tahoma" w:hAnsi="Tahoma" w:cs="Tahoma"/>
          <w:sz w:val="19"/>
          <w:szCs w:val="19"/>
          <w:lang w:val="en-GB"/>
        </w:rPr>
        <w:t>na</w:t>
      </w:r>
      <w:proofErr w:type="gramEnd"/>
      <w:r>
        <w:rPr>
          <w:rFonts w:ascii="Tahoma" w:hAnsi="Tahoma" w:cs="Tahoma"/>
          <w:sz w:val="19"/>
          <w:szCs w:val="19"/>
          <w:lang w:val="en-GB"/>
        </w:rPr>
        <w:t xml:space="preserve"> lokacij</w:t>
      </w:r>
      <w:r w:rsidR="00956693">
        <w:rPr>
          <w:rFonts w:ascii="Tahoma" w:hAnsi="Tahoma" w:cs="Tahoma"/>
          <w:sz w:val="19"/>
          <w:szCs w:val="19"/>
          <w:lang w:val="en-GB"/>
        </w:rPr>
        <w:t>i</w:t>
      </w:r>
      <w:r>
        <w:rPr>
          <w:rFonts w:ascii="Tahoma" w:hAnsi="Tahoma" w:cs="Tahoma"/>
          <w:sz w:val="19"/>
          <w:szCs w:val="19"/>
          <w:lang w:val="en-GB"/>
        </w:rPr>
        <w:t xml:space="preserve"> najviše godinu dana</w:t>
      </w:r>
      <w:r w:rsidR="00AA745C" w:rsidRPr="000E7530">
        <w:rPr>
          <w:rFonts w:ascii="Tahoma" w:hAnsi="Tahoma" w:cs="Tahoma"/>
          <w:sz w:val="19"/>
          <w:szCs w:val="19"/>
          <w:lang w:val="en-GB"/>
        </w:rPr>
        <w:t xml:space="preserve">. </w:t>
      </w:r>
      <w:proofErr w:type="gramStart"/>
      <w:r>
        <w:rPr>
          <w:rFonts w:ascii="Tahoma" w:hAnsi="Tahoma" w:cs="Tahoma"/>
          <w:sz w:val="19"/>
          <w:szCs w:val="19"/>
          <w:lang w:val="en-GB"/>
        </w:rPr>
        <w:t>Otpad treba predati firm</w:t>
      </w:r>
      <w:r w:rsidR="00956693">
        <w:rPr>
          <w:rFonts w:ascii="Tahoma" w:hAnsi="Tahoma" w:cs="Tahoma"/>
          <w:sz w:val="19"/>
          <w:szCs w:val="19"/>
          <w:lang w:val="en-GB"/>
        </w:rPr>
        <w:t>i</w:t>
      </w:r>
      <w:r>
        <w:rPr>
          <w:rFonts w:ascii="Tahoma" w:hAnsi="Tahoma" w:cs="Tahoma"/>
          <w:sz w:val="19"/>
          <w:szCs w:val="19"/>
          <w:lang w:val="en-GB"/>
        </w:rPr>
        <w:t xml:space="preserve"> ovlašćenoj za preuzimanje ovog otpada</w:t>
      </w:r>
      <w:r w:rsidR="00AA745C" w:rsidRPr="000E7530">
        <w:rPr>
          <w:rFonts w:ascii="Tahoma" w:hAnsi="Tahoma" w:cs="Tahoma"/>
          <w:sz w:val="19"/>
          <w:szCs w:val="19"/>
          <w:lang w:val="en-GB"/>
        </w:rPr>
        <w:t>.</w:t>
      </w:r>
      <w:proofErr w:type="gramEnd"/>
      <w:r w:rsidR="00AA745C" w:rsidRPr="000E7530">
        <w:rPr>
          <w:rFonts w:ascii="Tahoma" w:hAnsi="Tahoma" w:cs="Tahoma"/>
          <w:sz w:val="19"/>
          <w:szCs w:val="19"/>
          <w:lang w:val="en-GB"/>
        </w:rPr>
        <w:t xml:space="preserve"> </w:t>
      </w:r>
      <w:r>
        <w:rPr>
          <w:rFonts w:ascii="Tahoma" w:hAnsi="Tahoma" w:cs="Tahoma"/>
          <w:sz w:val="19"/>
          <w:szCs w:val="19"/>
          <w:lang w:val="en-GB"/>
        </w:rPr>
        <w:t xml:space="preserve">Dokumentaciju u vezi otpada treba držati </w:t>
      </w:r>
      <w:proofErr w:type="gramStart"/>
      <w:r>
        <w:rPr>
          <w:rFonts w:ascii="Tahoma" w:hAnsi="Tahoma" w:cs="Tahoma"/>
          <w:sz w:val="19"/>
          <w:szCs w:val="19"/>
          <w:lang w:val="en-GB"/>
        </w:rPr>
        <w:t>na</w:t>
      </w:r>
      <w:proofErr w:type="gramEnd"/>
      <w:r>
        <w:rPr>
          <w:rFonts w:ascii="Tahoma" w:hAnsi="Tahoma" w:cs="Tahoma"/>
          <w:sz w:val="19"/>
          <w:szCs w:val="19"/>
          <w:lang w:val="en-GB"/>
        </w:rPr>
        <w:t xml:space="preserve"> gradilištu</w:t>
      </w:r>
      <w:r w:rsidR="00AA745C" w:rsidRPr="000E7530">
        <w:rPr>
          <w:rFonts w:ascii="Tahoma" w:hAnsi="Tahoma" w:cs="Tahoma"/>
          <w:sz w:val="19"/>
          <w:szCs w:val="19"/>
          <w:lang w:val="en-GB"/>
        </w:rPr>
        <w:t>.</w:t>
      </w:r>
    </w:p>
    <w:p w:rsidR="00AA745C" w:rsidRPr="000E7530" w:rsidRDefault="00AA745C" w:rsidP="00956D5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</w:p>
    <w:p w:rsidR="006C7440" w:rsidRPr="00956693" w:rsidRDefault="00D1781A" w:rsidP="00956D5E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b/>
          <w:sz w:val="19"/>
          <w:szCs w:val="19"/>
          <w:lang w:val="en-GB"/>
        </w:rPr>
      </w:pPr>
      <w:r w:rsidRPr="00956693">
        <w:rPr>
          <w:rFonts w:ascii="Tahoma" w:hAnsi="Tahoma" w:cs="Tahoma"/>
          <w:b/>
          <w:sz w:val="19"/>
          <w:szCs w:val="19"/>
          <w:lang w:val="en-GB"/>
        </w:rPr>
        <w:t>Azbestni otpad</w:t>
      </w:r>
    </w:p>
    <w:p w:rsidR="006C7440" w:rsidRPr="000E7530" w:rsidRDefault="00D1781A" w:rsidP="00956D5E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sz w:val="19"/>
          <w:szCs w:val="19"/>
          <w:lang w:val="en-GB"/>
        </w:rPr>
      </w:pPr>
      <w:r>
        <w:rPr>
          <w:rFonts w:ascii="Tahoma" w:hAnsi="Tahoma" w:cs="Tahoma"/>
          <w:sz w:val="19"/>
          <w:szCs w:val="19"/>
          <w:lang w:val="en-GB"/>
        </w:rPr>
        <w:t xml:space="preserve">Ako se azbest može naći </w:t>
      </w:r>
      <w:proofErr w:type="gramStart"/>
      <w:r>
        <w:rPr>
          <w:rFonts w:ascii="Tahoma" w:hAnsi="Tahoma" w:cs="Tahoma"/>
          <w:sz w:val="19"/>
          <w:szCs w:val="19"/>
          <w:lang w:val="en-GB"/>
        </w:rPr>
        <w:t>na</w:t>
      </w:r>
      <w:proofErr w:type="gramEnd"/>
      <w:r>
        <w:rPr>
          <w:rFonts w:ascii="Tahoma" w:hAnsi="Tahoma" w:cs="Tahoma"/>
          <w:sz w:val="19"/>
          <w:szCs w:val="19"/>
          <w:lang w:val="en-GB"/>
        </w:rPr>
        <w:t xml:space="preserve"> lokaciji projekta, potrebno ga je jasno obeležiti kao opasan materij</w:t>
      </w:r>
      <w:r w:rsidR="00956693">
        <w:rPr>
          <w:rFonts w:ascii="Tahoma" w:hAnsi="Tahoma" w:cs="Tahoma"/>
          <w:sz w:val="19"/>
          <w:szCs w:val="19"/>
          <w:lang w:val="en-GB"/>
        </w:rPr>
        <w:t>a</w:t>
      </w:r>
      <w:r>
        <w:rPr>
          <w:rFonts w:ascii="Tahoma" w:hAnsi="Tahoma" w:cs="Tahoma"/>
          <w:sz w:val="19"/>
          <w:szCs w:val="19"/>
          <w:lang w:val="en-GB"/>
        </w:rPr>
        <w:t>l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. </w:t>
      </w:r>
      <w:r>
        <w:rPr>
          <w:rFonts w:ascii="Tahoma" w:hAnsi="Tahoma" w:cs="Tahoma"/>
          <w:sz w:val="19"/>
          <w:szCs w:val="19"/>
          <w:lang w:val="en-GB"/>
        </w:rPr>
        <w:t xml:space="preserve">Kad god je moguće, azbest treba da bude adekvatno zatvoren i </w:t>
      </w:r>
      <w:proofErr w:type="gramStart"/>
      <w:r w:rsidR="00956693">
        <w:rPr>
          <w:rFonts w:ascii="Tahoma" w:hAnsi="Tahoma" w:cs="Tahoma"/>
          <w:sz w:val="19"/>
          <w:szCs w:val="19"/>
          <w:lang w:val="en-GB"/>
        </w:rPr>
        <w:t>plombiran</w:t>
      </w:r>
      <w:r>
        <w:rPr>
          <w:rFonts w:ascii="Tahoma" w:hAnsi="Tahoma" w:cs="Tahoma"/>
          <w:sz w:val="19"/>
          <w:szCs w:val="19"/>
          <w:lang w:val="en-GB"/>
        </w:rPr>
        <w:t xml:space="preserve">  kako</w:t>
      </w:r>
      <w:proofErr w:type="gramEnd"/>
      <w:r>
        <w:rPr>
          <w:rFonts w:ascii="Tahoma" w:hAnsi="Tahoma" w:cs="Tahoma"/>
          <w:sz w:val="19"/>
          <w:szCs w:val="19"/>
          <w:lang w:val="en-GB"/>
        </w:rPr>
        <w:t xml:space="preserve"> bi se izlaganje njegovom dejstvu, naročito u toku aktivnosti demontaže na objektu</w:t>
      </w:r>
      <w:r w:rsidR="00956693">
        <w:rPr>
          <w:rFonts w:ascii="Tahoma" w:hAnsi="Tahoma" w:cs="Tahoma"/>
          <w:sz w:val="19"/>
          <w:szCs w:val="19"/>
          <w:lang w:val="en-GB"/>
        </w:rPr>
        <w:t>,</w:t>
      </w:r>
      <w:r>
        <w:rPr>
          <w:rFonts w:ascii="Tahoma" w:hAnsi="Tahoma" w:cs="Tahoma"/>
          <w:sz w:val="19"/>
          <w:szCs w:val="19"/>
          <w:lang w:val="en-GB"/>
        </w:rPr>
        <w:t xml:space="preserve"> </w:t>
      </w:r>
      <w:r w:rsidR="00956693">
        <w:rPr>
          <w:rFonts w:ascii="Tahoma" w:hAnsi="Tahoma" w:cs="Tahoma"/>
          <w:sz w:val="19"/>
          <w:szCs w:val="19"/>
          <w:lang w:val="en-GB"/>
        </w:rPr>
        <w:t>svelo</w:t>
      </w:r>
      <w:r>
        <w:rPr>
          <w:rFonts w:ascii="Tahoma" w:hAnsi="Tahoma" w:cs="Tahoma"/>
          <w:sz w:val="19"/>
          <w:szCs w:val="19"/>
          <w:lang w:val="en-GB"/>
        </w:rPr>
        <w:t xml:space="preserve"> na minimum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. </w:t>
      </w:r>
      <w:r w:rsidR="00956D5E">
        <w:rPr>
          <w:rFonts w:ascii="Tahoma" w:hAnsi="Tahoma" w:cs="Tahoma"/>
          <w:sz w:val="19"/>
          <w:szCs w:val="19"/>
          <w:lang w:val="en-GB"/>
        </w:rPr>
        <w:t>Pre uklanjanja azbesta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 (</w:t>
      </w:r>
      <w:r w:rsidR="00956D5E">
        <w:rPr>
          <w:rFonts w:ascii="Tahoma" w:hAnsi="Tahoma" w:cs="Tahoma"/>
          <w:sz w:val="19"/>
          <w:szCs w:val="19"/>
          <w:lang w:val="en-GB"/>
        </w:rPr>
        <w:t>u slučaju da je uklanjanje neophodno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>)</w:t>
      </w:r>
      <w:r w:rsidR="00956D5E">
        <w:rPr>
          <w:rFonts w:ascii="Tahoma" w:hAnsi="Tahoma" w:cs="Tahoma"/>
          <w:sz w:val="19"/>
          <w:szCs w:val="19"/>
          <w:lang w:val="en-GB"/>
        </w:rPr>
        <w:t>, treba ga treit</w:t>
      </w:r>
      <w:r w:rsidR="0019120A">
        <w:rPr>
          <w:rFonts w:ascii="Tahoma" w:hAnsi="Tahoma" w:cs="Tahoma"/>
          <w:sz w:val="19"/>
          <w:szCs w:val="19"/>
          <w:lang w:val="en-GB"/>
        </w:rPr>
        <w:t xml:space="preserve">rati sredstvom za vlaženje kako bi se prisustvo azbestne prašine svelo </w:t>
      </w:r>
      <w:proofErr w:type="gramStart"/>
      <w:r w:rsidR="0019120A">
        <w:rPr>
          <w:rFonts w:ascii="Tahoma" w:hAnsi="Tahoma" w:cs="Tahoma"/>
          <w:sz w:val="19"/>
          <w:szCs w:val="19"/>
          <w:lang w:val="en-GB"/>
        </w:rPr>
        <w:t>na</w:t>
      </w:r>
      <w:proofErr w:type="gramEnd"/>
      <w:r w:rsidR="0019120A">
        <w:rPr>
          <w:rFonts w:ascii="Tahoma" w:hAnsi="Tahoma" w:cs="Tahoma"/>
          <w:sz w:val="19"/>
          <w:szCs w:val="19"/>
          <w:lang w:val="en-GB"/>
        </w:rPr>
        <w:t xml:space="preserve"> minimum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. </w:t>
      </w:r>
      <w:proofErr w:type="gramStart"/>
      <w:r w:rsidR="0019120A">
        <w:rPr>
          <w:rFonts w:ascii="Tahoma" w:hAnsi="Tahoma" w:cs="Tahoma"/>
          <w:sz w:val="19"/>
          <w:szCs w:val="19"/>
          <w:lang w:val="en-GB"/>
        </w:rPr>
        <w:t>Imajući u vidu opasnosti po zdravlje, manipulaciju azbestom i njegovo odlaganje treba da vrše iskusni i obučeni profesionalci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>.</w:t>
      </w:r>
      <w:proofErr w:type="gramEnd"/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 </w:t>
      </w:r>
      <w:proofErr w:type="gramStart"/>
      <w:r w:rsidR="0019120A">
        <w:rPr>
          <w:rFonts w:ascii="Tahoma" w:hAnsi="Tahoma" w:cs="Tahoma"/>
          <w:sz w:val="19"/>
          <w:szCs w:val="19"/>
          <w:lang w:val="en-GB"/>
        </w:rPr>
        <w:t>Ako se azbes</w:t>
      </w:r>
      <w:r w:rsidR="00956693">
        <w:rPr>
          <w:rFonts w:ascii="Tahoma" w:hAnsi="Tahoma" w:cs="Tahoma"/>
          <w:sz w:val="19"/>
          <w:szCs w:val="19"/>
          <w:lang w:val="en-GB"/>
        </w:rPr>
        <w:t>t</w:t>
      </w:r>
      <w:r w:rsidR="0019120A">
        <w:rPr>
          <w:rFonts w:ascii="Tahoma" w:hAnsi="Tahoma" w:cs="Tahoma"/>
          <w:sz w:val="19"/>
          <w:szCs w:val="19"/>
          <w:lang w:val="en-GB"/>
        </w:rPr>
        <w:t>ni materijal privremeno skladišti, potrebno ga je bezbedno zatvorit</w:t>
      </w:r>
      <w:r w:rsidR="00956693">
        <w:rPr>
          <w:rFonts w:ascii="Tahoma" w:hAnsi="Tahoma" w:cs="Tahoma"/>
          <w:sz w:val="19"/>
          <w:szCs w:val="19"/>
          <w:lang w:val="en-GB"/>
        </w:rPr>
        <w:t>i</w:t>
      </w:r>
      <w:r w:rsidR="00132E2D">
        <w:rPr>
          <w:rFonts w:ascii="Tahoma" w:hAnsi="Tahoma" w:cs="Tahoma"/>
          <w:sz w:val="19"/>
          <w:szCs w:val="19"/>
          <w:lang w:val="en-GB"/>
        </w:rPr>
        <w:t xml:space="preserve"> u izolovanom prostoru i adkevatno obeležiti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>.</w:t>
      </w:r>
      <w:proofErr w:type="gramEnd"/>
      <w:r w:rsidR="006C7440" w:rsidRPr="000E7530">
        <w:rPr>
          <w:rFonts w:ascii="Tahoma" w:hAnsi="Tahoma" w:cs="Tahoma"/>
          <w:sz w:val="19"/>
          <w:szCs w:val="19"/>
          <w:lang w:val="en-GB"/>
        </w:rPr>
        <w:t xml:space="preserve"> </w:t>
      </w:r>
      <w:proofErr w:type="gramStart"/>
      <w:r w:rsidR="00132E2D">
        <w:rPr>
          <w:rFonts w:ascii="Tahoma" w:hAnsi="Tahoma" w:cs="Tahoma"/>
          <w:sz w:val="19"/>
          <w:szCs w:val="19"/>
          <w:lang w:val="en-GB"/>
        </w:rPr>
        <w:t>Manipulaciju azbes</w:t>
      </w:r>
      <w:r w:rsidR="00956693">
        <w:rPr>
          <w:rFonts w:ascii="Tahoma" w:hAnsi="Tahoma" w:cs="Tahoma"/>
          <w:sz w:val="19"/>
          <w:szCs w:val="19"/>
          <w:lang w:val="en-GB"/>
        </w:rPr>
        <w:t>t</w:t>
      </w:r>
      <w:r w:rsidR="00132E2D">
        <w:rPr>
          <w:rFonts w:ascii="Tahoma" w:hAnsi="Tahoma" w:cs="Tahoma"/>
          <w:sz w:val="19"/>
          <w:szCs w:val="19"/>
          <w:lang w:val="en-GB"/>
        </w:rPr>
        <w:t>nim otpadom treba da vrše ovlašćene firme</w:t>
      </w:r>
      <w:r w:rsidR="006C7440" w:rsidRPr="000E7530">
        <w:rPr>
          <w:rFonts w:ascii="Tahoma" w:hAnsi="Tahoma" w:cs="Tahoma"/>
          <w:sz w:val="19"/>
          <w:szCs w:val="19"/>
          <w:lang w:val="en-GB"/>
        </w:rPr>
        <w:t>.</w:t>
      </w:r>
      <w:proofErr w:type="gramEnd"/>
      <w:r w:rsidR="006C7440" w:rsidRPr="000E7530">
        <w:rPr>
          <w:rFonts w:ascii="Tahoma" w:hAnsi="Tahoma" w:cs="Tahoma"/>
          <w:sz w:val="19"/>
          <w:szCs w:val="19"/>
          <w:lang w:val="en-GB"/>
        </w:rPr>
        <w:br w:type="page"/>
      </w:r>
    </w:p>
    <w:p w:rsidR="006C7440" w:rsidRPr="000E7530" w:rsidRDefault="006C7440" w:rsidP="00910A65">
      <w:pPr>
        <w:spacing w:after="120" w:line="240" w:lineRule="auto"/>
        <w:rPr>
          <w:rFonts w:ascii="Tahoma" w:hAnsi="Tahoma" w:cs="Tahoma"/>
          <w:sz w:val="19"/>
          <w:szCs w:val="19"/>
          <w:lang w:val="en-GB"/>
        </w:rPr>
        <w:sectPr w:rsidR="006C7440" w:rsidRPr="000E7530" w:rsidSect="00FA6B06">
          <w:type w:val="continuous"/>
          <w:pgSz w:w="11907" w:h="16840" w:code="9"/>
          <w:pgMar w:top="1134" w:right="1134" w:bottom="1134" w:left="1418" w:header="709" w:footer="709" w:gutter="0"/>
          <w:cols w:space="708"/>
          <w:docGrid w:linePitch="360"/>
        </w:sectPr>
      </w:pPr>
    </w:p>
    <w:p w:rsidR="006C7440" w:rsidRPr="000E7530" w:rsidRDefault="008D2356" w:rsidP="00910A65">
      <w:pPr>
        <w:spacing w:after="120" w:line="240" w:lineRule="auto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lastRenderedPageBreak/>
        <w:t>PLAN ZA UBLAŽAVANJE UTICJA OTPADA</w:t>
      </w:r>
    </w:p>
    <w:tbl>
      <w:tblPr>
        <w:tblStyle w:val="TableGrid"/>
        <w:tblW w:w="15276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384"/>
        <w:gridCol w:w="1418"/>
        <w:gridCol w:w="6662"/>
        <w:gridCol w:w="1701"/>
        <w:gridCol w:w="1984"/>
        <w:gridCol w:w="2127"/>
      </w:tblGrid>
      <w:tr w:rsidR="00C900C4" w:rsidRPr="000E7530" w:rsidTr="00A55388">
        <w:trPr>
          <w:trHeight w:val="454"/>
          <w:tblHeader/>
        </w:trPr>
        <w:tc>
          <w:tcPr>
            <w:tcW w:w="1384" w:type="dxa"/>
            <w:shd w:val="clear" w:color="auto" w:fill="D6E3BC" w:themeFill="accent3" w:themeFillTint="66"/>
            <w:vAlign w:val="center"/>
          </w:tcPr>
          <w:p w:rsidR="006C7440" w:rsidRPr="000E7530" w:rsidRDefault="008D2356" w:rsidP="008D2356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FAZA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6C7440" w:rsidRPr="000E7530" w:rsidRDefault="008D2356" w:rsidP="008D2356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PROBLEM</w:t>
            </w:r>
          </w:p>
        </w:tc>
        <w:tc>
          <w:tcPr>
            <w:tcW w:w="6662" w:type="dxa"/>
            <w:shd w:val="clear" w:color="auto" w:fill="D6E3BC" w:themeFill="accent3" w:themeFillTint="66"/>
            <w:vAlign w:val="center"/>
          </w:tcPr>
          <w:p w:rsidR="006C7440" w:rsidRPr="000E7530" w:rsidRDefault="008D2356" w:rsidP="008D2356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MERE ZA UBLAŽAVANJE</w:t>
            </w:r>
          </w:p>
        </w:tc>
        <w:tc>
          <w:tcPr>
            <w:tcW w:w="1701" w:type="dxa"/>
            <w:shd w:val="clear" w:color="auto" w:fill="D6E3BC" w:themeFill="accent3" w:themeFillTint="66"/>
            <w:vAlign w:val="center"/>
          </w:tcPr>
          <w:p w:rsidR="006C7440" w:rsidRPr="000E7530" w:rsidRDefault="008D2356" w:rsidP="008D2356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TROŠKOVI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8D2356" w:rsidRPr="000E7530" w:rsidRDefault="008D2356" w:rsidP="008D2356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INSTITUCIONALNA ODGOVORNOST</w:t>
            </w:r>
          </w:p>
          <w:p w:rsidR="006C7440" w:rsidRPr="000E7530" w:rsidRDefault="006C7440" w:rsidP="0057324B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shd w:val="clear" w:color="auto" w:fill="D6E3BC" w:themeFill="accent3" w:themeFillTint="66"/>
            <w:vAlign w:val="center"/>
          </w:tcPr>
          <w:p w:rsidR="006C7440" w:rsidRPr="000E7530" w:rsidRDefault="008D2356" w:rsidP="008D2356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KOMENTARI</w:t>
            </w:r>
          </w:p>
        </w:tc>
      </w:tr>
      <w:tr w:rsidR="00FA6B06" w:rsidRPr="000E7530" w:rsidTr="00A55388">
        <w:trPr>
          <w:trHeight w:val="454"/>
        </w:trPr>
        <w:tc>
          <w:tcPr>
            <w:tcW w:w="1384" w:type="dxa"/>
          </w:tcPr>
          <w:p w:rsidR="006C7440" w:rsidRPr="000E7530" w:rsidRDefault="008D2356" w:rsidP="008D2356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PROJEKAT</w:t>
            </w:r>
          </w:p>
        </w:tc>
        <w:tc>
          <w:tcPr>
            <w:tcW w:w="1418" w:type="dxa"/>
          </w:tcPr>
          <w:p w:rsidR="006C7440" w:rsidRPr="000E7530" w:rsidRDefault="008D2356" w:rsidP="008D2356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Revizija arhitektonskih projekata za izgradnju i adaptaciju zgrada</w:t>
            </w:r>
          </w:p>
        </w:tc>
        <w:tc>
          <w:tcPr>
            <w:tcW w:w="6662" w:type="dxa"/>
          </w:tcPr>
          <w:p w:rsidR="006C7440" w:rsidRPr="000E7530" w:rsidRDefault="004A409B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Implementacija mera pred</w:t>
            </w:r>
            <w:r w:rsidR="008D2356">
              <w:rPr>
                <w:rFonts w:ascii="Arial" w:hAnsi="Arial" w:cs="Arial"/>
                <w:sz w:val="18"/>
                <w:szCs w:val="18"/>
                <w:lang w:val="en-GB"/>
              </w:rPr>
              <w:t>loženih u PUZŽS</w:t>
            </w:r>
            <w:r w:rsidR="006C7440" w:rsidRPr="000E7530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  <w:p w:rsidR="006C7440" w:rsidRPr="000E7530" w:rsidRDefault="008D2356" w:rsidP="004A409B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Nove zagrade će biti projektovane u skladu sa lokalno</w:t>
            </w:r>
            <w:r w:rsidR="004A409B">
              <w:rPr>
                <w:rFonts w:ascii="Arial" w:hAnsi="Arial" w:cs="Arial"/>
                <w:sz w:val="18"/>
                <w:szCs w:val="18"/>
                <w:lang w:val="en-GB"/>
              </w:rPr>
              <w:t>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građevinskom</w:t>
            </w:r>
            <w:r w:rsidR="006C7440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i kulturnom</w:t>
            </w:r>
            <w:r w:rsidR="006C7440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praksom</w:t>
            </w:r>
            <w:r w:rsidR="006C7440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poštovanje arhitektonski</w:t>
            </w:r>
            <w:r w:rsidR="004A409B">
              <w:rPr>
                <w:rFonts w:ascii="Arial" w:hAnsi="Arial" w:cs="Arial"/>
                <w:sz w:val="18"/>
                <w:szCs w:val="18"/>
                <w:lang w:val="en-GB"/>
              </w:rPr>
              <w:t>h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rešenja u okruženju</w:t>
            </w:r>
            <w:r w:rsidR="006C7440" w:rsidRPr="000E7530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1701" w:type="dxa"/>
          </w:tcPr>
          <w:p w:rsidR="006C7440" w:rsidRPr="000E7530" w:rsidRDefault="008D2356" w:rsidP="008D2356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Ne predstavlja značajan trošak, treba da bude deo svakodnevnih obaveza konsultanat</w:t>
            </w:r>
            <w:r w:rsidR="004A409B">
              <w:rPr>
                <w:rFonts w:ascii="Arial" w:hAnsi="Arial" w:cs="Arial"/>
                <w:sz w:val="18"/>
                <w:szCs w:val="18"/>
                <w:lang w:val="en-GB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koje angažuje Tima za upravljanje projektom i uključen u troškove izdavanja građevinske dozvole.</w:t>
            </w:r>
          </w:p>
        </w:tc>
        <w:tc>
          <w:tcPr>
            <w:tcW w:w="1984" w:type="dxa"/>
          </w:tcPr>
          <w:p w:rsidR="006C7440" w:rsidRPr="000E7530" w:rsidRDefault="008D2356" w:rsidP="008D2356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Projektni tim, </w:t>
            </w:r>
            <w:r w:rsidR="006C7440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Tim za uprvljanje projektom, Revizija od strane institucije koja izdaje građevinsku dozvolu</w:t>
            </w:r>
            <w:r w:rsidR="00841A28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127" w:type="dxa"/>
          </w:tcPr>
          <w:p w:rsidR="006C7440" w:rsidRPr="000E7530" w:rsidRDefault="008D2356" w:rsidP="008D2356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Ovo nije zakonska obaveza, ali se prepručuje da bude obevazujući zahtev za projektanta</w:t>
            </w:r>
          </w:p>
        </w:tc>
      </w:tr>
      <w:tr w:rsidR="00FA6B06" w:rsidRPr="000E7530" w:rsidTr="00A55388">
        <w:trPr>
          <w:trHeight w:val="454"/>
        </w:trPr>
        <w:tc>
          <w:tcPr>
            <w:tcW w:w="1384" w:type="dxa"/>
          </w:tcPr>
          <w:p w:rsidR="006C7440" w:rsidRPr="000E7530" w:rsidRDefault="008D2356" w:rsidP="008D2356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IZVOĐENJE RADOVA</w:t>
            </w:r>
          </w:p>
        </w:tc>
        <w:tc>
          <w:tcPr>
            <w:tcW w:w="1418" w:type="dxa"/>
          </w:tcPr>
          <w:p w:rsidR="006C7440" w:rsidRPr="000E7530" w:rsidRDefault="008D2356" w:rsidP="008D2356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Prašina</w:t>
            </w:r>
          </w:p>
        </w:tc>
        <w:tc>
          <w:tcPr>
            <w:tcW w:w="6662" w:type="dxa"/>
          </w:tcPr>
          <w:p w:rsidR="00841A28" w:rsidRPr="000E7530" w:rsidRDefault="008D2356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Prašina koja nastaje prilikom rušenja i trasporta građevinskog materijala i otpada će biti svedena na minimum upotrebom vode i </w:t>
            </w:r>
            <w:r w:rsidR="001F3C35">
              <w:rPr>
                <w:rFonts w:ascii="Arial" w:hAnsi="Arial" w:cs="Arial"/>
                <w:sz w:val="18"/>
                <w:szCs w:val="18"/>
                <w:lang w:val="en-GB"/>
              </w:rPr>
              <w:t>pokrivanjem tereta koji se prevozi, ukoliko rušenje na objektu predstavlja značajan izvor prašine, gradilište može biti ograđeno.</w:t>
            </w:r>
            <w:r w:rsidR="00841A28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  <w:p w:rsidR="006C7440" w:rsidRPr="000E7530" w:rsidRDefault="001F3C35" w:rsidP="004A409B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Pojavu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n-GB"/>
              </w:rPr>
              <w:t>prašine  u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toku bušenja pneumatskm bušilicama/rušenja zidova treba predupediti prskanjem vodom i/ili postavljanjem ograde o</w:t>
            </w:r>
            <w:r w:rsidR="004A409B">
              <w:rPr>
                <w:rFonts w:ascii="Arial" w:hAnsi="Arial" w:cs="Arial"/>
                <w:sz w:val="18"/>
                <w:szCs w:val="18"/>
                <w:lang w:val="en-GB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zaštitne mreže protiv prašine oko gradilišta.</w:t>
            </w:r>
          </w:p>
        </w:tc>
        <w:tc>
          <w:tcPr>
            <w:tcW w:w="1701" w:type="dxa"/>
          </w:tcPr>
          <w:p w:rsidR="006C7440" w:rsidRPr="000E7530" w:rsidRDefault="001F3C35" w:rsidP="001F3C3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Mogu biti značajni ako se radovi izvode u s</w:t>
            </w:r>
            <w:r w:rsidR="004A409B">
              <w:rPr>
                <w:rFonts w:ascii="Arial" w:hAnsi="Arial" w:cs="Arial"/>
                <w:sz w:val="18"/>
                <w:szCs w:val="18"/>
                <w:lang w:val="en-GB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vom periodu godine</w:t>
            </w:r>
            <w:r w:rsidR="00E023F5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Ove troškove treba da snosi izvođač radova</w:t>
            </w:r>
            <w:r w:rsidR="00E023F5" w:rsidRPr="000E7530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984" w:type="dxa"/>
          </w:tcPr>
          <w:p w:rsidR="006C7440" w:rsidRPr="000E7530" w:rsidRDefault="001F3C35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Izvođač radova</w:t>
            </w:r>
          </w:p>
        </w:tc>
        <w:tc>
          <w:tcPr>
            <w:tcW w:w="2127" w:type="dxa"/>
          </w:tcPr>
          <w:p w:rsidR="006C7440" w:rsidRPr="000E7530" w:rsidRDefault="001660CF" w:rsidP="001660CF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Biće precizirano u tenderskoj dokumentaciji</w:t>
            </w:r>
            <w:r w:rsidR="00E023F5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poštovanje PUZŽS</w:t>
            </w:r>
            <w:r w:rsidR="00E023F5" w:rsidRPr="000E7530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</w:p>
        </w:tc>
      </w:tr>
      <w:tr w:rsidR="00FA6B06" w:rsidRPr="000E7530" w:rsidTr="00A55388">
        <w:trPr>
          <w:trHeight w:val="454"/>
        </w:trPr>
        <w:tc>
          <w:tcPr>
            <w:tcW w:w="1384" w:type="dxa"/>
          </w:tcPr>
          <w:p w:rsidR="00E023F5" w:rsidRPr="000E7530" w:rsidRDefault="00E023F5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</w:tcPr>
          <w:p w:rsidR="00E023F5" w:rsidRPr="000E7530" w:rsidRDefault="001F3C35" w:rsidP="001F3C3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Građevinski otpad</w:t>
            </w:r>
          </w:p>
        </w:tc>
        <w:tc>
          <w:tcPr>
            <w:tcW w:w="6662" w:type="dxa"/>
          </w:tcPr>
          <w:p w:rsidR="00E023F5" w:rsidRPr="000E7530" w:rsidRDefault="001F3C35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Opasan otpad treba odvojiti od čvrstog otpada</w:t>
            </w:r>
            <w:r w:rsidR="00E023F5" w:rsidRPr="000E7530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  <w:p w:rsidR="00E023F5" w:rsidRPr="000E7530" w:rsidRDefault="001F3C35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Kod opasnog otpada</w:t>
            </w:r>
            <w:r w:rsidR="00E023F5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boje, ulja i dr.</w:t>
            </w:r>
            <w:r w:rsidR="00E023F5" w:rsidRPr="000E7530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  <w:r w:rsidR="00841A28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izvođač treba da poštuje proceduru za upravljanje opasnim otpadom, koja podrazumeva prikupljanje, manipulaciju i predaju otpada ovlašćenoj firmi koja se bavi upravljanjem otpadom, uključući popunjavanje propratne dokumentacije</w:t>
            </w:r>
            <w:r w:rsidR="001660CF">
              <w:rPr>
                <w:rFonts w:ascii="Arial" w:hAnsi="Arial" w:cs="Arial"/>
                <w:sz w:val="18"/>
                <w:szCs w:val="18"/>
                <w:lang w:val="en-GB"/>
              </w:rPr>
              <w:t>. Sve frakcije koje se mogu reciklirati treba odvoji</w:t>
            </w:r>
            <w:r w:rsidR="004A409B">
              <w:rPr>
                <w:rFonts w:ascii="Arial" w:hAnsi="Arial" w:cs="Arial"/>
                <w:sz w:val="18"/>
                <w:szCs w:val="18"/>
                <w:lang w:val="en-GB"/>
              </w:rPr>
              <w:t>ti</w:t>
            </w:r>
            <w:r w:rsidR="001660CF">
              <w:rPr>
                <w:rFonts w:ascii="Arial" w:hAnsi="Arial" w:cs="Arial"/>
                <w:sz w:val="18"/>
                <w:szCs w:val="18"/>
                <w:lang w:val="en-GB"/>
              </w:rPr>
              <w:t xml:space="preserve"> od otpada koji se ne može reciklirati i transportovati do adekvatnih sabirnih lokacija, uz odgovarajuću propratnu dokumentaciju</w:t>
            </w:r>
          </w:p>
          <w:p w:rsidR="004F44F2" w:rsidRDefault="004F44F2" w:rsidP="004F44F2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Otpad koji nije pogodan za recikćažu treba transportovati na odobrenu deponiju. Gradilište će biti očišćeno, a  šut i drugi otpadni materijali će biti odloženi u skladu sa odrebama preciziranim u predmeru r</w:t>
            </w:r>
            <w:r w:rsidR="004A409B">
              <w:rPr>
                <w:rFonts w:ascii="Arial" w:hAnsi="Arial" w:cs="Arial"/>
                <w:sz w:val="18"/>
                <w:szCs w:val="18"/>
                <w:lang w:val="en-GB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dova</w:t>
            </w:r>
          </w:p>
          <w:p w:rsidR="00E023F5" w:rsidRPr="000E7530" w:rsidRDefault="004F44F2" w:rsidP="004A409B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Spaljivanje ili </w:t>
            </w:r>
            <w:r w:rsidR="004A409B">
              <w:rPr>
                <w:rFonts w:ascii="Arial" w:hAnsi="Arial" w:cs="Arial"/>
                <w:sz w:val="18"/>
                <w:szCs w:val="18"/>
                <w:lang w:val="en-GB"/>
              </w:rPr>
              <w:t>nezakonito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odlaganje otpada je strogo zabranjeno.</w:t>
            </w:r>
            <w:r w:rsidR="00841A28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Dokumenatciju o upravljanju otpadom treba držati na gradilištu.</w:t>
            </w:r>
          </w:p>
        </w:tc>
        <w:tc>
          <w:tcPr>
            <w:tcW w:w="1701" w:type="dxa"/>
          </w:tcPr>
          <w:p w:rsidR="00E023F5" w:rsidRPr="000E7530" w:rsidRDefault="001F3C35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Značajni</w:t>
            </w:r>
            <w:r w:rsidR="00E023F5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u zavisnosti od količina opasnog otpada</w:t>
            </w:r>
            <w:r w:rsidR="00E023F5" w:rsidRPr="000E7530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</w:p>
          <w:p w:rsidR="00E023F5" w:rsidRPr="000E7530" w:rsidRDefault="001F3C35" w:rsidP="001F3C3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Sve troškove treba da snosi izvođač radova</w:t>
            </w:r>
            <w:r w:rsidR="00E023F5" w:rsidRPr="000E7530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984" w:type="dxa"/>
          </w:tcPr>
          <w:p w:rsidR="00E023F5" w:rsidRDefault="001F3C35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Izvođač radova</w:t>
            </w:r>
          </w:p>
          <w:p w:rsidR="001F3C35" w:rsidRPr="000E7530" w:rsidRDefault="001F3C35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</w:tcPr>
          <w:p w:rsidR="00E023F5" w:rsidRPr="000E7530" w:rsidRDefault="001660CF" w:rsidP="00756FAD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60CF">
              <w:rPr>
                <w:rFonts w:ascii="Arial" w:hAnsi="Arial" w:cs="Arial"/>
                <w:sz w:val="18"/>
                <w:szCs w:val="18"/>
                <w:lang w:val="en-GB"/>
              </w:rPr>
              <w:t>Biće precizirano u tenderskoj dokumentaciji (poštovanje PUZŽS)</w:t>
            </w:r>
            <w:r w:rsidR="00E023F5" w:rsidRPr="000E7530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</w:p>
        </w:tc>
      </w:tr>
      <w:tr w:rsidR="00C900C4" w:rsidRPr="000E7530" w:rsidTr="00A55388">
        <w:trPr>
          <w:trHeight w:val="454"/>
        </w:trPr>
        <w:tc>
          <w:tcPr>
            <w:tcW w:w="1384" w:type="dxa"/>
          </w:tcPr>
          <w:p w:rsidR="008165F2" w:rsidRPr="000E7530" w:rsidRDefault="008165F2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</w:tcPr>
          <w:p w:rsidR="008165F2" w:rsidRPr="000E7530" w:rsidRDefault="001660CF" w:rsidP="001660CF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Zamena materijala koji sadrže azbest i druge opasne materijale</w:t>
            </w:r>
          </w:p>
        </w:tc>
        <w:tc>
          <w:tcPr>
            <w:tcW w:w="6662" w:type="dxa"/>
          </w:tcPr>
          <w:p w:rsidR="004F44F2" w:rsidRDefault="004F44F2" w:rsidP="004F44F2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Pre renoviranja zgrade, građevinski tim treba da ispita stare instalacije i utvrdi prisustvo azbesta. Zamena predstavlja značajan trošak. Sve troškove treba da snosi izvošač radova.</w:t>
            </w:r>
          </w:p>
          <w:p w:rsidR="008165F2" w:rsidRPr="000E7530" w:rsidRDefault="004F44F2" w:rsidP="004A409B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Sa azbestom i drugim materijalima iz objekta, štetnim po životnu sredinu, mora se postupati uz striktno poštovanje bezbednosnih mera, u cilju prevencije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lastRenderedPageBreak/>
              <w:t>inhaliranja azbestnih vlakana</w:t>
            </w:r>
            <w:r w:rsidR="00756FAD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8165F2" w:rsidRPr="000E7530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kao što su: zaštitne maske, zatvaranje prostora i dr.</w:t>
            </w:r>
            <w:r w:rsidR="008165F2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Izolacioni materijali koji sadrži azbest se definiše kao opasan otpad, te se u tom smislu sa njim mora postupati na adekvantan način.</w:t>
            </w:r>
          </w:p>
        </w:tc>
        <w:tc>
          <w:tcPr>
            <w:tcW w:w="1701" w:type="dxa"/>
          </w:tcPr>
          <w:p w:rsidR="008165F2" w:rsidRPr="000E7530" w:rsidRDefault="00A87CC6" w:rsidP="00A87CC6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lastRenderedPageBreak/>
              <w:t>Značajan trošak. Sve troškove treba da snosi izvođač radova</w:t>
            </w:r>
          </w:p>
        </w:tc>
        <w:tc>
          <w:tcPr>
            <w:tcW w:w="1984" w:type="dxa"/>
          </w:tcPr>
          <w:p w:rsidR="008165F2" w:rsidRPr="000E7530" w:rsidRDefault="00A87CC6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Izvođač radova</w:t>
            </w:r>
          </w:p>
        </w:tc>
        <w:tc>
          <w:tcPr>
            <w:tcW w:w="2127" w:type="dxa"/>
          </w:tcPr>
          <w:p w:rsidR="008165F2" w:rsidRPr="000E7530" w:rsidRDefault="004F44F2" w:rsidP="00756FAD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44F2">
              <w:rPr>
                <w:rFonts w:ascii="Arial" w:hAnsi="Arial" w:cs="Arial"/>
                <w:sz w:val="18"/>
                <w:szCs w:val="18"/>
                <w:lang w:val="en-GB"/>
              </w:rPr>
              <w:t>Biće precizirano u tenderskoj dokumentaciji (poštovanje PUZŽS))</w:t>
            </w:r>
          </w:p>
        </w:tc>
      </w:tr>
      <w:tr w:rsidR="00387CE0" w:rsidRPr="000E7530" w:rsidTr="00A55388">
        <w:trPr>
          <w:trHeight w:val="454"/>
        </w:trPr>
        <w:tc>
          <w:tcPr>
            <w:tcW w:w="1384" w:type="dxa"/>
          </w:tcPr>
          <w:p w:rsidR="008165F2" w:rsidRPr="000E7530" w:rsidRDefault="008165F2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</w:tcPr>
          <w:p w:rsidR="008165F2" w:rsidRPr="000E7530" w:rsidRDefault="001660CF" w:rsidP="001660CF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Akcidentne mrlje na vodi i zemljištu</w:t>
            </w:r>
          </w:p>
        </w:tc>
        <w:tc>
          <w:tcPr>
            <w:tcW w:w="6662" w:type="dxa"/>
          </w:tcPr>
          <w:p w:rsidR="008165F2" w:rsidRPr="000E7530" w:rsidRDefault="004A409B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Ukoliko bude potrebe za instaliranjem rezervoara za gorivo, isti treba da bude zaštićen sekunarnom zaštitom dovoljne zapremine da zadruži curenje</w:t>
            </w:r>
            <w:r w:rsidR="008165F2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ili </w:t>
            </w:r>
            <w:r w:rsidR="008165F2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 110</w:t>
            </w:r>
            <w:proofErr w:type="gramEnd"/>
            <w:r w:rsidR="008165F2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%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veličine najvećeg rezervoara, ili će se u ovu svrhu koristiti dvoslojni kontejneri</w:t>
            </w:r>
            <w:r w:rsidR="008165F2" w:rsidRPr="000E7530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  <w:p w:rsidR="008165F2" w:rsidRPr="000E7530" w:rsidRDefault="001660CF" w:rsidP="004A409B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Na gradilištu će biti uspostavljenje adekvatne mere za kontrolu erozije i sedimentacije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n-GB"/>
              </w:rPr>
              <w:t>,  na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pr. upotreba bala sena</w:t>
            </w:r>
            <w:r w:rsidR="004A409B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i</w:t>
            </w:r>
            <w:r w:rsidR="008165F2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/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ili </w:t>
            </w:r>
            <w:r w:rsidR="00A87CC6">
              <w:rPr>
                <w:rFonts w:ascii="Arial" w:hAnsi="Arial" w:cs="Arial"/>
                <w:sz w:val="18"/>
                <w:szCs w:val="18"/>
                <w:lang w:val="en-GB"/>
              </w:rPr>
              <w:t>Silt ogrda u cilju sperćavanja pomeranja nanosa sa gradilišta, što bi izazvalo značajnu zamućenost u obližnjem kanalu</w:t>
            </w:r>
            <w:r w:rsidR="008165F2" w:rsidRPr="000E7530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701" w:type="dxa"/>
          </w:tcPr>
          <w:p w:rsidR="008165F2" w:rsidRPr="000E7530" w:rsidRDefault="00A87CC6" w:rsidP="004F44F2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Ne predstavlja značajan trošak</w:t>
            </w:r>
            <w:r w:rsidR="00BB52F6">
              <w:rPr>
                <w:rFonts w:ascii="Arial" w:hAnsi="Arial" w:cs="Arial"/>
                <w:sz w:val="18"/>
                <w:szCs w:val="18"/>
                <w:lang w:val="en-GB"/>
              </w:rPr>
              <w:t xml:space="preserve">. Sve troškove </w:t>
            </w:r>
            <w:r w:rsidR="004F44F2">
              <w:rPr>
                <w:rFonts w:ascii="Arial" w:hAnsi="Arial" w:cs="Arial"/>
                <w:sz w:val="18"/>
                <w:szCs w:val="18"/>
                <w:lang w:val="en-GB"/>
              </w:rPr>
              <w:t>treba da snosi iz</w:t>
            </w:r>
            <w:r w:rsidR="004305DD">
              <w:rPr>
                <w:rFonts w:ascii="Arial" w:hAnsi="Arial" w:cs="Arial"/>
                <w:sz w:val="18"/>
                <w:szCs w:val="18"/>
                <w:lang w:val="en-GB"/>
              </w:rPr>
              <w:t>r</w:t>
            </w:r>
            <w:r w:rsidR="004F44F2">
              <w:rPr>
                <w:rFonts w:ascii="Arial" w:hAnsi="Arial" w:cs="Arial"/>
                <w:sz w:val="18"/>
                <w:szCs w:val="18"/>
                <w:lang w:val="en-GB"/>
              </w:rPr>
              <w:t>vođač radova</w:t>
            </w:r>
          </w:p>
        </w:tc>
        <w:tc>
          <w:tcPr>
            <w:tcW w:w="1984" w:type="dxa"/>
          </w:tcPr>
          <w:p w:rsidR="008165F2" w:rsidRPr="000E7530" w:rsidRDefault="00A87CC6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Izvođač radova</w:t>
            </w:r>
          </w:p>
        </w:tc>
        <w:tc>
          <w:tcPr>
            <w:tcW w:w="2127" w:type="dxa"/>
          </w:tcPr>
          <w:p w:rsidR="008165F2" w:rsidRPr="000E7530" w:rsidRDefault="004F44F2" w:rsidP="00756FAD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F44F2">
              <w:rPr>
                <w:rFonts w:ascii="Arial" w:hAnsi="Arial" w:cs="Arial"/>
                <w:sz w:val="18"/>
                <w:szCs w:val="18"/>
                <w:lang w:val="en-GB"/>
              </w:rPr>
              <w:t>Biće precizirano u tenderskoj dokumentaciji (poštovanje PUZŽS))</w:t>
            </w:r>
          </w:p>
        </w:tc>
      </w:tr>
      <w:tr w:rsidR="00387CE0" w:rsidRPr="000E7530" w:rsidTr="00A55388">
        <w:trPr>
          <w:trHeight w:val="454"/>
        </w:trPr>
        <w:tc>
          <w:tcPr>
            <w:tcW w:w="1384" w:type="dxa"/>
          </w:tcPr>
          <w:p w:rsidR="00E023F5" w:rsidRPr="000E7530" w:rsidRDefault="00E023F5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</w:tcPr>
          <w:p w:rsidR="00E023F5" w:rsidRPr="000E7530" w:rsidRDefault="004F44F2" w:rsidP="004F44F2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Upravljanje otpadom</w:t>
            </w:r>
          </w:p>
        </w:tc>
        <w:tc>
          <w:tcPr>
            <w:tcW w:w="6662" w:type="dxa"/>
          </w:tcPr>
          <w:p w:rsidR="004305DD" w:rsidRDefault="004305DD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Organizovano razvrstavanje čvrstog otpada. Sakuplanje reciklažnog materijala i organizovano skupljanje nereciklažnog čvrstog otpada</w:t>
            </w:r>
          </w:p>
          <w:p w:rsidR="00B5431A" w:rsidRPr="000E7530" w:rsidRDefault="004305DD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Uvođenje mere za svođenje proizvodnje otpada na minimu</w:t>
            </w:r>
            <w:r w:rsidR="00B5431A" w:rsidRPr="000E7530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</w:p>
          <w:p w:rsidR="004305DD" w:rsidRDefault="004305DD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Koordinacija sa lokalnim planom za urpavljanje otpadom</w:t>
            </w:r>
          </w:p>
          <w:p w:rsidR="00B5431A" w:rsidRPr="000E7530" w:rsidRDefault="004305DD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Sakuplanje i razvrstavanje otpada u okviru objekta. Predaja otpada ovlašćenoj firm koja se bavi upravljanjem opasnim otpadom</w:t>
            </w:r>
          </w:p>
          <w:p w:rsidR="00E023F5" w:rsidRPr="000E7530" w:rsidRDefault="004305DD" w:rsidP="004305DD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Poštovati obaveznu proceduru izveštavanja o opasnom otpadu</w:t>
            </w:r>
          </w:p>
        </w:tc>
        <w:tc>
          <w:tcPr>
            <w:tcW w:w="1701" w:type="dxa"/>
          </w:tcPr>
          <w:p w:rsidR="00E023F5" w:rsidRPr="000E7530" w:rsidRDefault="004305DD" w:rsidP="004A409B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Ne predstavlja značaj</w:t>
            </w:r>
            <w:r w:rsidR="004A409B">
              <w:rPr>
                <w:rFonts w:ascii="Arial" w:hAnsi="Arial" w:cs="Arial"/>
                <w:sz w:val="18"/>
                <w:szCs w:val="18"/>
                <w:lang w:val="en-GB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n trošak u određenom vremenskom period</w:t>
            </w:r>
            <w:r w:rsidR="004A409B">
              <w:rPr>
                <w:rFonts w:ascii="Arial" w:hAnsi="Arial" w:cs="Arial"/>
                <w:sz w:val="18"/>
                <w:szCs w:val="18"/>
                <w:lang w:val="en-GB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 Ovaj trošak treba da snosi Operator, odnosno ne treba da bude finansiran iz sredstava zajma</w:t>
            </w:r>
          </w:p>
        </w:tc>
        <w:tc>
          <w:tcPr>
            <w:tcW w:w="1984" w:type="dxa"/>
          </w:tcPr>
          <w:p w:rsidR="00E023F5" w:rsidRPr="000E7530" w:rsidRDefault="00B5431A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E7530">
              <w:rPr>
                <w:rFonts w:ascii="Arial" w:hAnsi="Arial" w:cs="Arial"/>
                <w:sz w:val="18"/>
                <w:szCs w:val="18"/>
                <w:lang w:val="en-GB"/>
              </w:rPr>
              <w:t>Operator</w:t>
            </w:r>
          </w:p>
        </w:tc>
        <w:tc>
          <w:tcPr>
            <w:tcW w:w="2127" w:type="dxa"/>
          </w:tcPr>
          <w:p w:rsidR="00E023F5" w:rsidRPr="000E7530" w:rsidRDefault="00E023F5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87CE0" w:rsidRPr="000E7530" w:rsidTr="00A55388">
        <w:trPr>
          <w:trHeight w:val="454"/>
        </w:trPr>
        <w:tc>
          <w:tcPr>
            <w:tcW w:w="1384" w:type="dxa"/>
          </w:tcPr>
          <w:p w:rsidR="00E023F5" w:rsidRPr="000E7530" w:rsidRDefault="00E023F5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</w:tcPr>
          <w:p w:rsidR="00E023F5" w:rsidRPr="000E7530" w:rsidRDefault="004305DD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Skladišenje</w:t>
            </w:r>
          </w:p>
        </w:tc>
        <w:tc>
          <w:tcPr>
            <w:tcW w:w="6662" w:type="dxa"/>
          </w:tcPr>
          <w:p w:rsidR="00E023F5" w:rsidRPr="000E7530" w:rsidRDefault="004305DD" w:rsidP="004305DD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Opasan otpad treba skladištiti u skladu sa Listom bezbednosnih podataka o materijalima</w:t>
            </w:r>
            <w:r w:rsidR="00B5431A" w:rsidRPr="000E7530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701" w:type="dxa"/>
          </w:tcPr>
          <w:p w:rsidR="00E023F5" w:rsidRPr="000E7530" w:rsidRDefault="004305DD" w:rsidP="004A409B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U početku značajan</w:t>
            </w:r>
            <w:r w:rsidR="00756FAD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B5431A" w:rsidRPr="000E7530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="00756FAD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4A409B">
              <w:rPr>
                <w:rFonts w:ascii="Arial" w:hAnsi="Arial" w:cs="Arial"/>
                <w:sz w:val="18"/>
                <w:szCs w:val="18"/>
                <w:lang w:val="en-GB"/>
              </w:rPr>
              <w:t>j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ednokratni trošak</w:t>
            </w:r>
            <w:r w:rsidR="00B5431A" w:rsidRPr="000E7530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, treba da ga plati </w:t>
            </w:r>
            <w:r w:rsidR="00B5431A" w:rsidRPr="000E7530">
              <w:rPr>
                <w:rFonts w:ascii="Arial" w:hAnsi="Arial" w:cs="Arial"/>
                <w:sz w:val="18"/>
                <w:szCs w:val="18"/>
                <w:lang w:val="en-GB"/>
              </w:rPr>
              <w:t>Operator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 odnosno ne treba da bude finansiran i sredsava zajma</w:t>
            </w:r>
          </w:p>
        </w:tc>
        <w:tc>
          <w:tcPr>
            <w:tcW w:w="1984" w:type="dxa"/>
          </w:tcPr>
          <w:p w:rsidR="00E023F5" w:rsidRPr="000E7530" w:rsidRDefault="00B5431A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E7530">
              <w:rPr>
                <w:rFonts w:ascii="Arial" w:hAnsi="Arial" w:cs="Arial"/>
                <w:sz w:val="18"/>
                <w:szCs w:val="18"/>
                <w:lang w:val="en-GB"/>
              </w:rPr>
              <w:t>Operator</w:t>
            </w:r>
          </w:p>
        </w:tc>
        <w:tc>
          <w:tcPr>
            <w:tcW w:w="2127" w:type="dxa"/>
          </w:tcPr>
          <w:p w:rsidR="00E023F5" w:rsidRPr="000E7530" w:rsidRDefault="004305DD" w:rsidP="00A55388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Projektanti objekta treba da reše pitanje skladišnog prostora za ovu namenu</w:t>
            </w:r>
          </w:p>
        </w:tc>
      </w:tr>
      <w:tr w:rsidR="00387CE0" w:rsidRPr="000E7530" w:rsidTr="00A55388">
        <w:trPr>
          <w:trHeight w:val="454"/>
        </w:trPr>
        <w:tc>
          <w:tcPr>
            <w:tcW w:w="1384" w:type="dxa"/>
          </w:tcPr>
          <w:p w:rsidR="00E023F5" w:rsidRPr="000E7530" w:rsidRDefault="00E023F5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</w:tcPr>
          <w:p w:rsidR="00357965" w:rsidRPr="000E7530" w:rsidRDefault="00A55388" w:rsidP="003579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Upravljanje otpadom</w:t>
            </w:r>
          </w:p>
          <w:p w:rsidR="00E023F5" w:rsidRPr="000E7530" w:rsidRDefault="00E023F5" w:rsidP="003579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662" w:type="dxa"/>
          </w:tcPr>
          <w:p w:rsidR="00357965" w:rsidRPr="000E7530" w:rsidRDefault="00A55388" w:rsidP="003579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Potencijalni negativni uticaj na životunu sredinu i zdravlje ljudi može da nastane usled neadkevatnog upravljanje otpadom, uključujići različite tokove otpada</w:t>
            </w:r>
            <w:r w:rsidR="00357965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Mere za ublažavanje uticaja su</w:t>
            </w:r>
            <w:r w:rsidR="00357965" w:rsidRPr="000E7530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  <w:p w:rsidR="00357965" w:rsidRPr="000E7530" w:rsidRDefault="00A55388" w:rsidP="00357965">
            <w:pPr>
              <w:pStyle w:val="ListParagraph"/>
              <w:numPr>
                <w:ilvl w:val="0"/>
                <w:numId w:val="2"/>
              </w:numPr>
              <w:spacing w:after="120"/>
              <w:ind w:left="317" w:hanging="284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I</w:t>
            </w:r>
            <w:r w:rsidR="00827151">
              <w:rPr>
                <w:rFonts w:ascii="Arial" w:hAnsi="Arial" w:cs="Arial"/>
                <w:sz w:val="18"/>
                <w:szCs w:val="18"/>
                <w:lang w:val="en-GB"/>
              </w:rPr>
              <w:t>zrada Plana za upravljanje otpadom za predviđene tokove otpada u toku faza izvođenja radova uokviru projekta</w:t>
            </w:r>
            <w:r w:rsidR="00357965" w:rsidRPr="000E7530">
              <w:rPr>
                <w:rFonts w:ascii="Arial" w:hAnsi="Arial" w:cs="Arial"/>
                <w:sz w:val="18"/>
                <w:szCs w:val="18"/>
                <w:lang w:val="en-GB"/>
              </w:rPr>
              <w:t>;</w:t>
            </w:r>
          </w:p>
          <w:p w:rsidR="00357965" w:rsidRPr="000E7530" w:rsidRDefault="00357965" w:rsidP="00357965">
            <w:pPr>
              <w:pStyle w:val="ListParagraph"/>
              <w:numPr>
                <w:ilvl w:val="0"/>
                <w:numId w:val="2"/>
              </w:numPr>
              <w:spacing w:after="120"/>
              <w:ind w:left="317" w:hanging="28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E7530">
              <w:rPr>
                <w:rFonts w:ascii="Arial" w:hAnsi="Arial" w:cs="Arial"/>
                <w:sz w:val="18"/>
                <w:szCs w:val="18"/>
                <w:lang w:val="en-GB"/>
              </w:rPr>
              <w:t>I</w:t>
            </w:r>
            <w:r w:rsidR="00827151">
              <w:rPr>
                <w:rFonts w:ascii="Arial" w:hAnsi="Arial" w:cs="Arial"/>
                <w:sz w:val="18"/>
                <w:szCs w:val="18"/>
                <w:lang w:val="en-GB"/>
              </w:rPr>
              <w:t>dentifikovanje opasnog i neopasnog otpada  i njihovo razvrastavanje na gradilištu</w:t>
            </w:r>
            <w:r w:rsidRPr="000E7530">
              <w:rPr>
                <w:rFonts w:ascii="Arial" w:hAnsi="Arial" w:cs="Arial"/>
                <w:sz w:val="18"/>
                <w:szCs w:val="18"/>
                <w:lang w:val="en-GB"/>
              </w:rPr>
              <w:t>;</w:t>
            </w:r>
          </w:p>
          <w:p w:rsidR="00357965" w:rsidRPr="000E7530" w:rsidRDefault="00827151" w:rsidP="00357965">
            <w:pPr>
              <w:pStyle w:val="ListParagraph"/>
              <w:numPr>
                <w:ilvl w:val="0"/>
                <w:numId w:val="2"/>
              </w:numPr>
              <w:spacing w:after="120"/>
              <w:ind w:left="317" w:hanging="284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Male količine lepka, boje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n-GB"/>
              </w:rPr>
              <w:t>,  ambalažnog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otpada od boja i lepka, aluminijumski profili,šrafovi i drugi građevinski otpad</w:t>
            </w:r>
            <w:r w:rsidR="00D1781A">
              <w:rPr>
                <w:rFonts w:ascii="Arial" w:hAnsi="Arial" w:cs="Arial"/>
                <w:sz w:val="18"/>
                <w:szCs w:val="18"/>
                <w:lang w:val="en-GB"/>
              </w:rPr>
              <w:t>, koji je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moguće pronaći nakon završetka projekta</w:t>
            </w:r>
            <w:r w:rsidR="00D1781A">
              <w:rPr>
                <w:rFonts w:ascii="Arial" w:hAnsi="Arial" w:cs="Arial"/>
                <w:sz w:val="18"/>
                <w:szCs w:val="18"/>
                <w:lang w:val="en-GB"/>
              </w:rPr>
              <w:t>, treba tretirati u sklasu sa nacionalni zakonodavstvo vezanim za opasan otpad</w:t>
            </w:r>
            <w:r w:rsidR="00357965" w:rsidRPr="000E7530">
              <w:rPr>
                <w:rFonts w:ascii="Arial" w:hAnsi="Arial" w:cs="Arial"/>
                <w:sz w:val="18"/>
                <w:szCs w:val="18"/>
                <w:lang w:val="en-GB"/>
              </w:rPr>
              <w:t xml:space="preserve"> (</w:t>
            </w:r>
            <w:r w:rsidR="00D1781A">
              <w:rPr>
                <w:rFonts w:ascii="Arial" w:hAnsi="Arial" w:cs="Arial"/>
                <w:sz w:val="18"/>
                <w:szCs w:val="18"/>
                <w:lang w:val="en-GB"/>
              </w:rPr>
              <w:t xml:space="preserve">prikupljanje opasnih materijala, obeleževanje, i </w:t>
            </w:r>
            <w:r w:rsidR="00D1781A">
              <w:rPr>
                <w:rFonts w:ascii="Arial" w:hAnsi="Arial" w:cs="Arial"/>
                <w:sz w:val="18"/>
                <w:szCs w:val="18"/>
                <w:lang w:val="en-GB"/>
              </w:rPr>
              <w:lastRenderedPageBreak/>
              <w:t>predaja ovlašćenoj firm</w:t>
            </w:r>
            <w:r w:rsidR="00357965" w:rsidRPr="000E7530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 Ugovor sa firmom za prikuplanje i transport otpada treba da bude potpisan za potrebe prikuplana i transporta otpada</w:t>
            </w:r>
            <w:r w:rsidR="00357965" w:rsidRPr="000E7530">
              <w:rPr>
                <w:rFonts w:ascii="Arial" w:hAnsi="Arial" w:cs="Arial"/>
                <w:sz w:val="18"/>
                <w:szCs w:val="18"/>
                <w:lang w:val="en-GB"/>
              </w:rPr>
              <w:t>;</w:t>
            </w:r>
          </w:p>
          <w:p w:rsidR="00357965" w:rsidRPr="000E7530" w:rsidRDefault="00827151" w:rsidP="00357965">
            <w:pPr>
              <w:pStyle w:val="ListParagraph"/>
              <w:numPr>
                <w:ilvl w:val="0"/>
                <w:numId w:val="2"/>
              </w:numPr>
              <w:spacing w:after="120"/>
              <w:ind w:left="317" w:hanging="284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Materijali treba da budu pokriveni u toku trasporta kako be se izbeglo rasipanje otpada</w:t>
            </w:r>
            <w:r w:rsidR="00357965" w:rsidRPr="000E7530">
              <w:rPr>
                <w:rFonts w:ascii="Arial" w:hAnsi="Arial" w:cs="Arial"/>
                <w:sz w:val="18"/>
                <w:szCs w:val="18"/>
                <w:lang w:val="en-GB"/>
              </w:rPr>
              <w:t>;</w:t>
            </w:r>
          </w:p>
          <w:p w:rsidR="00357965" w:rsidRPr="000E7530" w:rsidRDefault="00827151" w:rsidP="00827151">
            <w:pPr>
              <w:pStyle w:val="ListParagraph"/>
              <w:numPr>
                <w:ilvl w:val="0"/>
                <w:numId w:val="2"/>
              </w:numPr>
              <w:spacing w:after="120"/>
              <w:ind w:left="317" w:hanging="284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Paljenje građevinskog otpada je zabranjeno</w:t>
            </w:r>
            <w:r w:rsidR="00357965" w:rsidRPr="000E7530">
              <w:rPr>
                <w:rFonts w:ascii="Arial" w:hAnsi="Arial" w:cs="Arial"/>
                <w:sz w:val="18"/>
                <w:szCs w:val="18"/>
                <w:lang w:val="en-GB"/>
              </w:rPr>
              <w:t>;</w:t>
            </w:r>
          </w:p>
        </w:tc>
        <w:tc>
          <w:tcPr>
            <w:tcW w:w="1701" w:type="dxa"/>
          </w:tcPr>
          <w:p w:rsidR="00E023F5" w:rsidRPr="000E7530" w:rsidRDefault="00E023F5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</w:tcPr>
          <w:p w:rsidR="00357965" w:rsidRPr="00A55388" w:rsidRDefault="00A55388" w:rsidP="00357965">
            <w:pPr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55388">
              <w:rPr>
                <w:rFonts w:ascii="Arial" w:hAnsi="Arial" w:cs="Arial"/>
                <w:sz w:val="16"/>
                <w:szCs w:val="16"/>
                <w:lang w:val="en-GB"/>
              </w:rPr>
              <w:t>Izvođač radova</w:t>
            </w:r>
            <w:r w:rsidR="00357965" w:rsidRPr="00A55388">
              <w:rPr>
                <w:rFonts w:ascii="Arial" w:hAnsi="Arial" w:cs="Arial"/>
                <w:sz w:val="16"/>
                <w:szCs w:val="16"/>
                <w:lang w:val="en-GB"/>
              </w:rPr>
              <w:t xml:space="preserve"> –</w:t>
            </w:r>
            <w:r w:rsidRPr="00A55388">
              <w:rPr>
                <w:rFonts w:ascii="Arial" w:hAnsi="Arial" w:cs="Arial"/>
                <w:sz w:val="16"/>
                <w:szCs w:val="16"/>
                <w:lang w:val="en-GB"/>
              </w:rPr>
              <w:t>ponuđač</w:t>
            </w:r>
          </w:p>
          <w:p w:rsidR="00357965" w:rsidRPr="000E7530" w:rsidRDefault="00357965" w:rsidP="003579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023F5" w:rsidRPr="000E7530" w:rsidRDefault="00A55388" w:rsidP="00A55388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Nadzor</w:t>
            </w:r>
          </w:p>
        </w:tc>
        <w:tc>
          <w:tcPr>
            <w:tcW w:w="2127" w:type="dxa"/>
          </w:tcPr>
          <w:p w:rsidR="00E023F5" w:rsidRPr="000E7530" w:rsidRDefault="00E023F5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67EC5" w:rsidRPr="00567EC5" w:rsidTr="00A55388">
        <w:trPr>
          <w:trHeight w:val="454"/>
        </w:trPr>
        <w:tc>
          <w:tcPr>
            <w:tcW w:w="1384" w:type="dxa"/>
          </w:tcPr>
          <w:p w:rsidR="00567EC5" w:rsidRPr="00567EC5" w:rsidRDefault="00567EC5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</w:tcPr>
          <w:p w:rsidR="00567EC5" w:rsidRPr="00567EC5" w:rsidRDefault="00827151" w:rsidP="00567EC5">
            <w:pPr>
              <w:spacing w:before="4"/>
              <w:ind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>Kvalitet vode</w:t>
            </w:r>
          </w:p>
          <w:p w:rsidR="00567EC5" w:rsidRPr="00567EC5" w:rsidRDefault="00567EC5" w:rsidP="00846E30">
            <w:pPr>
              <w:spacing w:before="8" w:line="110" w:lineRule="exact"/>
              <w:rPr>
                <w:rFonts w:ascii="Arial" w:hAnsi="Arial" w:cs="Arial"/>
                <w:sz w:val="18"/>
                <w:szCs w:val="18"/>
              </w:rPr>
            </w:pPr>
          </w:p>
          <w:p w:rsidR="00567EC5" w:rsidRPr="00567EC5" w:rsidRDefault="00567EC5" w:rsidP="00846E30">
            <w:pPr>
              <w:spacing w:line="246" w:lineRule="auto"/>
              <w:ind w:left="228" w:right="97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662" w:type="dxa"/>
          </w:tcPr>
          <w:p w:rsidR="00567EC5" w:rsidRDefault="00827151" w:rsidP="00827151">
            <w:pPr>
              <w:pStyle w:val="ListParagraph"/>
              <w:numPr>
                <w:ilvl w:val="0"/>
                <w:numId w:val="2"/>
              </w:numPr>
              <w:spacing w:after="120"/>
              <w:ind w:left="317" w:hanging="284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Potencijalni uticaj na životnu sredinu u smislu podzemnih voda može nastati usled kontaminacije zemljišta, zbog prosipanja materijala kao što su </w:t>
            </w:r>
            <w:r w:rsidR="00D1781A">
              <w:rPr>
                <w:rFonts w:ascii="Arial" w:hAnsi="Arial" w:cs="Arial"/>
                <w:sz w:val="18"/>
                <w:szCs w:val="18"/>
                <w:lang w:val="en-GB"/>
              </w:rPr>
              <w:t>goriva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n, </w:t>
            </w:r>
            <w:r w:rsidR="00567EC5" w:rsidRPr="00567EC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motorna ulja, maziva</w:t>
            </w:r>
          </w:p>
          <w:p w:rsidR="00567EC5" w:rsidRPr="00567EC5" w:rsidRDefault="00827151" w:rsidP="00827151">
            <w:pPr>
              <w:pStyle w:val="ListParagraph"/>
              <w:numPr>
                <w:ilvl w:val="0"/>
                <w:numId w:val="2"/>
              </w:numPr>
              <w:spacing w:after="120"/>
              <w:ind w:left="317" w:hanging="284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Transportna vozila treba parkirati na ograđenoj lokaciji, kako bi se sprečilo potencijalno curenje</w:t>
            </w:r>
            <w:r w:rsidR="00567EC5" w:rsidRPr="00567EC5">
              <w:rPr>
                <w:rFonts w:ascii="Arial" w:hAnsi="Arial" w:cs="Arial"/>
                <w:sz w:val="18"/>
                <w:szCs w:val="18"/>
                <w:lang w:val="en-GB"/>
              </w:rPr>
              <w:t>;</w:t>
            </w:r>
          </w:p>
          <w:p w:rsidR="00567EC5" w:rsidRPr="00827151" w:rsidRDefault="00D1781A" w:rsidP="00D1781A">
            <w:pPr>
              <w:pStyle w:val="ListParagraph"/>
              <w:numPr>
                <w:ilvl w:val="0"/>
                <w:numId w:val="2"/>
              </w:numPr>
              <w:spacing w:after="120"/>
              <w:ind w:left="317" w:hanging="284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Moguć opasan otpad</w:t>
            </w:r>
            <w:r w:rsidR="00567EC5" w:rsidRPr="00567EC5">
              <w:rPr>
                <w:rFonts w:ascii="Arial" w:hAnsi="Arial" w:cs="Arial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motorna ulja, goriva, maziva</w:t>
            </w:r>
            <w:r w:rsidR="00567EC5" w:rsidRPr="00567EC5">
              <w:rPr>
                <w:rFonts w:ascii="Arial" w:hAnsi="Arial" w:cs="Arial"/>
                <w:sz w:val="18"/>
                <w:szCs w:val="18"/>
                <w:lang w:val="en-GB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mora biti prikupljen posebno, pri čemu je neophodno angažovati ovlašćenu firmu za tra</w:t>
            </w:r>
            <w:r w:rsidR="004A409B">
              <w:rPr>
                <w:rFonts w:ascii="Arial" w:hAnsi="Arial" w:cs="Arial"/>
                <w:sz w:val="18"/>
                <w:szCs w:val="18"/>
                <w:lang w:val="en-GB"/>
              </w:rPr>
              <w:t>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sport i odlaganje opasnog otpada  (pod-ugovaranje)</w:t>
            </w:r>
            <w:r w:rsidR="00567EC5" w:rsidRPr="00567EC5">
              <w:rPr>
                <w:rFonts w:ascii="Arial" w:hAnsi="Arial" w:cs="Arial"/>
                <w:sz w:val="18"/>
                <w:szCs w:val="18"/>
                <w:lang w:val="en-GB"/>
              </w:rPr>
              <w:t>;</w:t>
            </w:r>
          </w:p>
        </w:tc>
        <w:tc>
          <w:tcPr>
            <w:tcW w:w="1701" w:type="dxa"/>
          </w:tcPr>
          <w:p w:rsidR="00567EC5" w:rsidRPr="00567EC5" w:rsidRDefault="00567EC5" w:rsidP="00846E30">
            <w:pPr>
              <w:spacing w:line="245" w:lineRule="auto"/>
              <w:ind w:left="394" w:right="38" w:hanging="26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567EC5" w:rsidRPr="00567EC5" w:rsidRDefault="00827151" w:rsidP="00846E30">
            <w:pPr>
              <w:spacing w:before="2" w:line="245" w:lineRule="auto"/>
              <w:ind w:left="228" w:right="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Izvođa</w:t>
            </w:r>
            <w:r w:rsidR="00D1781A">
              <w:rPr>
                <w:rFonts w:ascii="Arial" w:eastAsia="Arial" w:hAnsi="Arial" w:cs="Arial"/>
                <w:sz w:val="18"/>
                <w:szCs w:val="18"/>
              </w:rPr>
              <w:t>č radova</w:t>
            </w:r>
            <w:r w:rsidR="00567EC5" w:rsidRPr="00567EC5"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r w:rsidR="00567EC5" w:rsidRPr="00567EC5">
              <w:rPr>
                <w:rFonts w:ascii="Arial" w:eastAsia="Arial" w:hAnsi="Arial" w:cs="Arial"/>
                <w:spacing w:val="21"/>
                <w:sz w:val="18"/>
                <w:szCs w:val="18"/>
              </w:rPr>
              <w:t xml:space="preserve"> </w:t>
            </w:r>
            <w:r w:rsidR="00567EC5" w:rsidRPr="00567EC5">
              <w:rPr>
                <w:rFonts w:ascii="Arial" w:eastAsia="Arial" w:hAnsi="Arial" w:cs="Arial"/>
                <w:w w:val="102"/>
                <w:sz w:val="18"/>
                <w:szCs w:val="18"/>
              </w:rPr>
              <w:t xml:space="preserve">– </w:t>
            </w:r>
            <w:r w:rsidR="00D1781A">
              <w:rPr>
                <w:rFonts w:ascii="Arial" w:eastAsia="Arial" w:hAnsi="Arial" w:cs="Arial"/>
                <w:w w:val="102"/>
                <w:sz w:val="18"/>
                <w:szCs w:val="18"/>
              </w:rPr>
              <w:t>Ponuđač</w:t>
            </w:r>
          </w:p>
          <w:p w:rsidR="00567EC5" w:rsidRPr="00567EC5" w:rsidRDefault="00567EC5" w:rsidP="00846E30">
            <w:pPr>
              <w:spacing w:before="4" w:line="110" w:lineRule="exact"/>
              <w:rPr>
                <w:rFonts w:ascii="Arial" w:hAnsi="Arial" w:cs="Arial"/>
                <w:sz w:val="18"/>
                <w:szCs w:val="18"/>
              </w:rPr>
            </w:pPr>
          </w:p>
          <w:p w:rsidR="00567EC5" w:rsidRPr="00567EC5" w:rsidRDefault="00D1781A" w:rsidP="00D1781A">
            <w:pPr>
              <w:ind w:left="22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Nadzor</w:t>
            </w:r>
          </w:p>
        </w:tc>
        <w:tc>
          <w:tcPr>
            <w:tcW w:w="2127" w:type="dxa"/>
          </w:tcPr>
          <w:p w:rsidR="00567EC5" w:rsidRPr="00567EC5" w:rsidRDefault="00567EC5" w:rsidP="00910A65">
            <w:pPr>
              <w:spacing w:after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6C7440" w:rsidRPr="000E7530" w:rsidRDefault="006C7440" w:rsidP="00910A65">
      <w:pPr>
        <w:spacing w:after="120" w:line="240" w:lineRule="auto"/>
        <w:rPr>
          <w:rFonts w:ascii="Arial" w:hAnsi="Arial" w:cs="Arial"/>
          <w:sz w:val="18"/>
          <w:szCs w:val="18"/>
          <w:lang w:val="en-GB"/>
        </w:rPr>
      </w:pPr>
    </w:p>
    <w:p w:rsidR="00D44971" w:rsidRPr="000E7530" w:rsidRDefault="00D44971" w:rsidP="00910A65">
      <w:pPr>
        <w:spacing w:after="120" w:line="240" w:lineRule="auto"/>
        <w:rPr>
          <w:rFonts w:ascii="Arial" w:hAnsi="Arial" w:cs="Arial"/>
          <w:sz w:val="18"/>
          <w:szCs w:val="18"/>
          <w:lang w:val="en-GB"/>
        </w:rPr>
      </w:pPr>
    </w:p>
    <w:p w:rsidR="00D44971" w:rsidRPr="000E7530" w:rsidRDefault="00D44971" w:rsidP="00910A65">
      <w:pPr>
        <w:spacing w:after="120" w:line="240" w:lineRule="auto"/>
        <w:rPr>
          <w:rFonts w:ascii="Arial" w:hAnsi="Arial" w:cs="Arial"/>
          <w:sz w:val="18"/>
          <w:szCs w:val="18"/>
          <w:lang w:val="en-GB"/>
        </w:rPr>
      </w:pPr>
    </w:p>
    <w:p w:rsidR="006C7440" w:rsidRPr="00C8356E" w:rsidRDefault="00790C54" w:rsidP="00910A65">
      <w:pPr>
        <w:spacing w:after="120" w:line="240" w:lineRule="auto"/>
        <w:rPr>
          <w:rFonts w:ascii="Arial" w:hAnsi="Arial" w:cs="Arial"/>
          <w:b/>
          <w:sz w:val="18"/>
          <w:szCs w:val="18"/>
          <w:lang w:val="en-GB"/>
        </w:rPr>
      </w:pPr>
      <w:r>
        <w:rPr>
          <w:rFonts w:ascii="Arial" w:hAnsi="Arial" w:cs="Arial"/>
          <w:b/>
          <w:sz w:val="18"/>
          <w:szCs w:val="18"/>
          <w:lang w:val="en-GB"/>
        </w:rPr>
        <w:t>MONITORING OTPADA</w:t>
      </w: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2"/>
        <w:gridCol w:w="1601"/>
        <w:gridCol w:w="1357"/>
        <w:gridCol w:w="1576"/>
        <w:gridCol w:w="2625"/>
        <w:gridCol w:w="1044"/>
        <w:gridCol w:w="1037"/>
        <w:gridCol w:w="2081"/>
        <w:gridCol w:w="1418"/>
      </w:tblGrid>
      <w:tr w:rsidR="00C8356E" w:rsidRPr="00D44971" w:rsidTr="00790C54">
        <w:trPr>
          <w:trHeight w:hRule="exact" w:val="33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D44971" w:rsidRPr="00D44971" w:rsidRDefault="00D44971" w:rsidP="00D44971">
            <w:pPr>
              <w:widowControl w:val="0"/>
              <w:spacing w:before="12" w:after="0" w:line="200" w:lineRule="exact"/>
              <w:rPr>
                <w:rFonts w:ascii="Arial" w:eastAsia="Calibri" w:hAnsi="Arial" w:cs="Arial"/>
                <w:sz w:val="18"/>
                <w:szCs w:val="18"/>
                <w:lang w:val="en-GB"/>
              </w:rPr>
            </w:pPr>
          </w:p>
          <w:p w:rsidR="00D44971" w:rsidRPr="00D44971" w:rsidRDefault="00790C54" w:rsidP="00790C54">
            <w:pPr>
              <w:widowControl w:val="0"/>
              <w:spacing w:after="0" w:line="330" w:lineRule="atLeast"/>
              <w:ind w:left="311" w:right="125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n-GB"/>
              </w:rPr>
              <w:t>Koji parametar je predmet monitoringa</w:t>
            </w:r>
            <w:r w:rsidR="00D44971" w:rsidRPr="00D44971">
              <w:rPr>
                <w:rFonts w:ascii="Arial" w:eastAsia="Arial" w:hAnsi="Arial" w:cs="Arial"/>
                <w:b/>
                <w:bCs/>
                <w:sz w:val="18"/>
                <w:szCs w:val="18"/>
                <w:lang w:val="en-GB"/>
              </w:rPr>
              <w:t>?</w:t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D44971" w:rsidRPr="00D44971" w:rsidRDefault="00790C54" w:rsidP="00790C54">
            <w:pPr>
              <w:widowControl w:val="0"/>
              <w:spacing w:after="0" w:line="212" w:lineRule="exact"/>
              <w:ind w:right="387"/>
              <w:jc w:val="center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w w:val="99"/>
                <w:sz w:val="18"/>
                <w:szCs w:val="18"/>
                <w:lang w:val="en-GB"/>
              </w:rPr>
              <w:t>Gde je paremetar koji je predmet monitoringa</w:t>
            </w:r>
            <w:r w:rsidR="00D44971" w:rsidRPr="00D44971"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  <w:lang w:val="en-GB"/>
              </w:rPr>
              <w:t>?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D44971" w:rsidRPr="00D44971" w:rsidRDefault="00790C54" w:rsidP="00790C54">
            <w:pPr>
              <w:widowControl w:val="0"/>
              <w:spacing w:after="0" w:line="212" w:lineRule="exact"/>
              <w:ind w:right="278"/>
              <w:jc w:val="center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99"/>
                <w:sz w:val="18"/>
                <w:szCs w:val="18"/>
                <w:lang w:val="en-GB"/>
              </w:rPr>
              <w:t>Na koji način će se vršiti monitoring parametra</w:t>
            </w:r>
            <w:r w:rsidR="00D44971" w:rsidRPr="00D44971"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  <w:lang w:val="en-GB"/>
              </w:rPr>
              <w:t>?</w:t>
            </w:r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D44971" w:rsidRPr="00D44971" w:rsidRDefault="00790C54" w:rsidP="00790C54">
            <w:pPr>
              <w:widowControl w:val="0"/>
              <w:spacing w:after="0" w:line="237" w:lineRule="auto"/>
              <w:ind w:left="268" w:right="116" w:firstLine="2"/>
              <w:jc w:val="center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  <w:lang w:val="en-GB"/>
              </w:rPr>
              <w:t>Koliko često će se vršiti monitoring parametera</w:t>
            </w:r>
            <w:r w:rsidR="00D44971" w:rsidRPr="00D44971"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  <w:lang w:val="en-GB"/>
              </w:rPr>
              <w:t xml:space="preserve"> </w:t>
            </w:r>
            <w:r w:rsidR="00D44971" w:rsidRPr="00D44971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lang w:val="en-GB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lang w:val="en-GB"/>
              </w:rPr>
              <w:t>učestalost merenja</w:t>
            </w:r>
            <w:r w:rsidR="00D44971" w:rsidRPr="00D44971"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  <w:lang w:val="en-GB"/>
              </w:rPr>
              <w:t>)?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D44971" w:rsidRPr="00D44971" w:rsidRDefault="00790C54" w:rsidP="00D44971">
            <w:pPr>
              <w:widowControl w:val="0"/>
              <w:spacing w:after="0" w:line="212" w:lineRule="exact"/>
              <w:ind w:left="1141" w:right="987"/>
              <w:jc w:val="center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w w:val="99"/>
                <w:sz w:val="18"/>
                <w:szCs w:val="18"/>
                <w:lang w:val="en-GB"/>
              </w:rPr>
              <w:t>Zašto</w:t>
            </w:r>
          </w:p>
          <w:p w:rsidR="00D44971" w:rsidRPr="00D44971" w:rsidRDefault="00D44971" w:rsidP="00D4497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  <w:sz w:val="18"/>
                <w:szCs w:val="18"/>
                <w:lang w:val="en-GB"/>
              </w:rPr>
            </w:pPr>
          </w:p>
          <w:p w:rsidR="00D44971" w:rsidRPr="00D44971" w:rsidRDefault="00790C54" w:rsidP="00790C54">
            <w:pPr>
              <w:widowControl w:val="0"/>
              <w:spacing w:after="0" w:line="218" w:lineRule="exact"/>
              <w:ind w:left="379" w:right="226"/>
              <w:jc w:val="center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pacing w:val="2"/>
                <w:sz w:val="18"/>
                <w:szCs w:val="18"/>
                <w:lang w:val="en-GB"/>
              </w:rPr>
              <w:t>se</w:t>
            </w:r>
            <w:proofErr w:type="gramEnd"/>
            <w:r>
              <w:rPr>
                <w:rFonts w:ascii="Arial" w:eastAsia="Arial" w:hAnsi="Arial" w:cs="Arial"/>
                <w:b/>
                <w:bCs/>
                <w:spacing w:val="2"/>
                <w:sz w:val="18"/>
                <w:szCs w:val="18"/>
                <w:lang w:val="en-GB"/>
              </w:rPr>
              <w:t xml:space="preserve"> vrši monitoring parametera</w:t>
            </w:r>
            <w:r w:rsidR="00D44971" w:rsidRPr="00D44971"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  <w:lang w:val="en-GB"/>
              </w:rPr>
              <w:t>?</w:t>
            </w:r>
          </w:p>
        </w:tc>
        <w:tc>
          <w:tcPr>
            <w:tcW w:w="2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D44971" w:rsidRPr="00D44971" w:rsidRDefault="00790C54" w:rsidP="00781698">
            <w:pPr>
              <w:widowControl w:val="0"/>
              <w:spacing w:after="0" w:line="212" w:lineRule="exact"/>
              <w:ind w:right="707"/>
              <w:jc w:val="center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  <w:lang w:val="en-GB"/>
              </w:rPr>
              <w:t>Troškovi</w:t>
            </w:r>
          </w:p>
        </w:tc>
        <w:tc>
          <w:tcPr>
            <w:tcW w:w="3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D44971" w:rsidRPr="00781698" w:rsidRDefault="00781698" w:rsidP="00D44971">
            <w:pPr>
              <w:widowControl w:val="0"/>
              <w:spacing w:after="0" w:line="212" w:lineRule="exact"/>
              <w:ind w:left="1024" w:right="-20"/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</w:pPr>
            <w:r w:rsidRPr="00781698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Odgovornost</w:t>
            </w:r>
          </w:p>
        </w:tc>
      </w:tr>
      <w:tr w:rsidR="00C8356E" w:rsidRPr="00D44971" w:rsidTr="00790C54">
        <w:trPr>
          <w:trHeight w:hRule="exact" w:val="1586"/>
        </w:trPr>
        <w:tc>
          <w:tcPr>
            <w:tcW w:w="18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D44971" w:rsidRPr="00D44971" w:rsidRDefault="00D44971" w:rsidP="00D44971">
            <w:pPr>
              <w:widowControl w:val="0"/>
              <w:rPr>
                <w:rFonts w:ascii="Arial" w:eastAsia="Calibri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D44971" w:rsidRPr="00D44971" w:rsidRDefault="00D44971" w:rsidP="00790C54">
            <w:pPr>
              <w:widowControl w:val="0"/>
              <w:rPr>
                <w:rFonts w:ascii="Arial" w:eastAsia="Calibri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3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D44971" w:rsidRPr="00D44971" w:rsidRDefault="00D44971" w:rsidP="00D44971">
            <w:pPr>
              <w:widowControl w:val="0"/>
              <w:rPr>
                <w:rFonts w:ascii="Arial" w:eastAsia="Calibri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D44971" w:rsidRPr="00D44971" w:rsidRDefault="00D44971" w:rsidP="00D44971">
            <w:pPr>
              <w:widowControl w:val="0"/>
              <w:rPr>
                <w:rFonts w:ascii="Arial" w:eastAsia="Calibri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D44971" w:rsidRPr="00D44971" w:rsidRDefault="00D44971" w:rsidP="00D44971">
            <w:pPr>
              <w:widowControl w:val="0"/>
              <w:rPr>
                <w:rFonts w:ascii="Arial" w:eastAsia="Calibri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D44971" w:rsidRPr="00790C54" w:rsidRDefault="00790C54" w:rsidP="00790C54">
            <w:pPr>
              <w:widowControl w:val="0"/>
              <w:spacing w:after="0" w:line="216" w:lineRule="exact"/>
              <w:ind w:right="122"/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Građevinski radovi</w:t>
            </w:r>
            <w:r w:rsidRPr="00790C54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D44971" w:rsidRPr="00790C54" w:rsidRDefault="00790C54" w:rsidP="00790C54">
            <w:pPr>
              <w:widowControl w:val="0"/>
              <w:spacing w:after="0" w:line="216" w:lineRule="exact"/>
              <w:ind w:right="47"/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</w:pPr>
            <w:r w:rsidRPr="00790C54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Eksploatacija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D44971" w:rsidRPr="00781698" w:rsidRDefault="00790C54" w:rsidP="00D44971">
            <w:pPr>
              <w:widowControl w:val="0"/>
              <w:spacing w:after="0" w:line="213" w:lineRule="exact"/>
              <w:ind w:left="228" w:right="-20"/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</w:pPr>
            <w:r w:rsidRPr="00781698">
              <w:rPr>
                <w:rFonts w:ascii="Arial" w:eastAsia="Arial" w:hAnsi="Arial" w:cs="Arial"/>
                <w:b/>
                <w:sz w:val="18"/>
                <w:szCs w:val="18"/>
                <w:lang w:val="en-GB"/>
              </w:rPr>
              <w:t>Građevinski radovi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D44971" w:rsidRPr="00D44971" w:rsidRDefault="00781698" w:rsidP="00781698">
            <w:pPr>
              <w:widowControl w:val="0"/>
              <w:spacing w:after="0" w:line="213" w:lineRule="exact"/>
              <w:ind w:left="229" w:right="-20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n-GB"/>
              </w:rPr>
              <w:t>Eksploatacija</w:t>
            </w:r>
          </w:p>
        </w:tc>
      </w:tr>
      <w:tr w:rsidR="00D44971" w:rsidRPr="00D44971" w:rsidTr="00790C54">
        <w:trPr>
          <w:trHeight w:hRule="exact" w:val="3161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C54" w:rsidRPr="00D44971" w:rsidRDefault="00790C54" w:rsidP="00790C54">
            <w:pPr>
              <w:widowControl w:val="0"/>
              <w:spacing w:before="1" w:after="0" w:line="216" w:lineRule="exact"/>
              <w:ind w:left="96" w:right="92"/>
              <w:rPr>
                <w:rFonts w:ascii="Arial" w:eastAsia="Arial" w:hAnsi="Arial" w:cs="Arial"/>
                <w:spacing w:val="-5"/>
                <w:sz w:val="18"/>
                <w:szCs w:val="18"/>
                <w:lang w:val="en-GB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GB"/>
              </w:rPr>
              <w:t>Sakuplanje trasport, kao i skladištenje opasnog otpada</w:t>
            </w:r>
          </w:p>
          <w:p w:rsidR="00D44971" w:rsidRPr="00D44971" w:rsidRDefault="00D44971" w:rsidP="00790C54">
            <w:pPr>
              <w:widowControl w:val="0"/>
              <w:spacing w:before="1" w:after="0" w:line="216" w:lineRule="exact"/>
              <w:ind w:left="96" w:right="404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D44971">
              <w:rPr>
                <w:rFonts w:ascii="Arial" w:eastAsia="Arial" w:hAnsi="Arial" w:cs="Arial"/>
                <w:sz w:val="18"/>
                <w:szCs w:val="18"/>
                <w:lang w:val="en-GB"/>
              </w:rPr>
              <w:t>(</w:t>
            </w:r>
            <w:proofErr w:type="gramStart"/>
            <w:r w:rsidR="00790C54">
              <w:rPr>
                <w:rFonts w:ascii="Arial" w:eastAsia="Arial" w:hAnsi="Arial" w:cs="Arial"/>
                <w:sz w:val="18"/>
                <w:szCs w:val="18"/>
                <w:lang w:val="en-GB"/>
              </w:rPr>
              <w:t>ako</w:t>
            </w:r>
            <w:proofErr w:type="gramEnd"/>
            <w:r w:rsidR="00790C54">
              <w:rPr>
                <w:rFonts w:ascii="Arial" w:eastAsia="Arial" w:hAnsi="Arial" w:cs="Arial"/>
                <w:sz w:val="18"/>
                <w:szCs w:val="18"/>
                <w:lang w:val="en-GB"/>
              </w:rPr>
              <w:t xml:space="preserve"> je primenljivo</w:t>
            </w:r>
            <w:r w:rsidRPr="00D44971">
              <w:rPr>
                <w:rFonts w:ascii="Arial" w:eastAsia="Arial" w:hAnsi="Arial" w:cs="Arial"/>
                <w:spacing w:val="-2"/>
                <w:sz w:val="18"/>
                <w:szCs w:val="18"/>
                <w:lang w:val="en-GB"/>
              </w:rPr>
              <w:t>)</w:t>
            </w:r>
            <w:r w:rsidRPr="00D44971">
              <w:rPr>
                <w:rFonts w:ascii="Arial" w:eastAsia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C54" w:rsidRPr="00790C54" w:rsidRDefault="00790C54" w:rsidP="00790C54">
            <w:pPr>
              <w:widowControl w:val="0"/>
              <w:spacing w:before="1" w:after="0" w:line="216" w:lineRule="exact"/>
              <w:ind w:left="96" w:right="595"/>
              <w:rPr>
                <w:rFonts w:ascii="Arial" w:eastAsia="Arial" w:hAnsi="Arial" w:cs="Arial"/>
                <w:sz w:val="16"/>
                <w:szCs w:val="16"/>
                <w:lang w:val="en-GB"/>
              </w:rPr>
            </w:pPr>
            <w:r w:rsidRPr="00790C54">
              <w:rPr>
                <w:rFonts w:ascii="Arial" w:eastAsia="Arial" w:hAnsi="Arial" w:cs="Arial"/>
                <w:sz w:val="16"/>
                <w:szCs w:val="16"/>
                <w:lang w:val="en-GB"/>
              </w:rPr>
              <w:t>U privemenom bezbednom skladišnom prostoru</w:t>
            </w:r>
          </w:p>
          <w:p w:rsidR="00D44971" w:rsidRPr="00D44971" w:rsidRDefault="00D44971" w:rsidP="00790C54">
            <w:pPr>
              <w:widowControl w:val="0"/>
              <w:spacing w:after="0" w:line="214" w:lineRule="exact"/>
              <w:ind w:left="96" w:right="-20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C54" w:rsidRPr="00D44971" w:rsidRDefault="00790C54" w:rsidP="00790C54">
            <w:pPr>
              <w:widowControl w:val="0"/>
              <w:spacing w:before="1" w:after="0" w:line="216" w:lineRule="exact"/>
              <w:ind w:left="95" w:right="100"/>
              <w:jc w:val="both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  <w:lang w:val="en-GB"/>
              </w:rPr>
              <w:t>Revizija transportnih lista i uslova u skladišnom prostoru</w:t>
            </w:r>
          </w:p>
          <w:p w:rsidR="00D44971" w:rsidRPr="00D44971" w:rsidRDefault="00D44971" w:rsidP="00D44971">
            <w:pPr>
              <w:widowControl w:val="0"/>
              <w:spacing w:before="1" w:after="0" w:line="216" w:lineRule="exact"/>
              <w:ind w:left="95" w:right="413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971" w:rsidRPr="00D44971" w:rsidRDefault="00790C54" w:rsidP="00790C54">
            <w:pPr>
              <w:widowControl w:val="0"/>
              <w:spacing w:before="1" w:after="0" w:line="216" w:lineRule="exact"/>
              <w:ind w:left="96" w:right="214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GB"/>
              </w:rPr>
              <w:t>Pre transporta opasnog otpada</w:t>
            </w:r>
            <w:r w:rsidR="00D44971" w:rsidRPr="00D44971">
              <w:rPr>
                <w:rFonts w:ascii="Arial" w:eastAsia="Arial" w:hAnsi="Arial" w:cs="Arial"/>
                <w:spacing w:val="-5"/>
                <w:sz w:val="18"/>
                <w:szCs w:val="18"/>
                <w:lang w:val="en-GB"/>
              </w:rPr>
              <w:t xml:space="preserve"> </w:t>
            </w:r>
            <w:r w:rsidR="00D44971" w:rsidRPr="00D44971">
              <w:rPr>
                <w:rFonts w:ascii="Arial" w:eastAsia="Arial" w:hAnsi="Arial" w:cs="Arial"/>
                <w:spacing w:val="-2"/>
                <w:sz w:val="18"/>
                <w:szCs w:val="18"/>
                <w:lang w:val="en-GB"/>
              </w:rPr>
              <w:t>(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en-GB"/>
              </w:rPr>
              <w:t>ako je primenljivo</w:t>
            </w:r>
            <w:r w:rsidR="00D44971" w:rsidRPr="00D44971">
              <w:rPr>
                <w:rFonts w:ascii="Arial" w:eastAsia="Arial" w:hAnsi="Arial" w:cs="Arial"/>
                <w:spacing w:val="-1"/>
                <w:sz w:val="18"/>
                <w:szCs w:val="18"/>
                <w:lang w:val="en-GB"/>
              </w:rPr>
              <w:t>)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698" w:rsidRPr="00D44971" w:rsidRDefault="00781698" w:rsidP="00781698">
            <w:pPr>
              <w:widowControl w:val="0"/>
              <w:spacing w:before="1" w:after="0" w:line="216" w:lineRule="exact"/>
              <w:ind w:left="96" w:right="394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GB"/>
              </w:rPr>
              <w:t>U cilju unapređenja parkse upravljanje otpadom na opštinskom i nacionalnom nivou</w:t>
            </w:r>
          </w:p>
          <w:p w:rsidR="00D44971" w:rsidRPr="00D44971" w:rsidRDefault="00D44971" w:rsidP="00D44971">
            <w:pPr>
              <w:widowControl w:val="0"/>
              <w:spacing w:before="1" w:after="0" w:line="216" w:lineRule="exact"/>
              <w:ind w:left="96" w:right="407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D44971">
              <w:rPr>
                <w:rFonts w:ascii="Arial" w:eastAsia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971" w:rsidRPr="00D44971" w:rsidRDefault="00D44971" w:rsidP="00D44971">
            <w:pPr>
              <w:widowControl w:val="0"/>
              <w:rPr>
                <w:rFonts w:ascii="Arial" w:eastAsia="Calibri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971" w:rsidRPr="00D44971" w:rsidRDefault="00D44971" w:rsidP="00D44971">
            <w:pPr>
              <w:widowControl w:val="0"/>
              <w:rPr>
                <w:rFonts w:ascii="Arial" w:eastAsia="Calibri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971" w:rsidRPr="00D44971" w:rsidRDefault="00781698" w:rsidP="00781698">
            <w:pPr>
              <w:widowControl w:val="0"/>
              <w:spacing w:after="0" w:line="214" w:lineRule="exact"/>
              <w:ind w:left="95" w:right="-20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GB"/>
              </w:rPr>
              <w:t>Ovlašćeni izvođač za prikupljanje i transport opasnog otpada</w:t>
            </w:r>
          </w:p>
          <w:p w:rsidR="00D44971" w:rsidRPr="00D44971" w:rsidRDefault="00D44971" w:rsidP="00D44971">
            <w:pPr>
              <w:widowControl w:val="0"/>
              <w:spacing w:after="0" w:line="237" w:lineRule="auto"/>
              <w:ind w:left="95" w:right="113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D44971">
              <w:rPr>
                <w:rFonts w:ascii="Arial" w:eastAsia="Arial" w:hAnsi="Arial" w:cs="Arial"/>
                <w:spacing w:val="-2"/>
                <w:sz w:val="18"/>
                <w:szCs w:val="18"/>
                <w:lang w:val="en-GB"/>
              </w:rPr>
              <w:t>(</w:t>
            </w:r>
            <w:r w:rsidR="00781698">
              <w:rPr>
                <w:rFonts w:ascii="Arial" w:eastAsia="Arial" w:hAnsi="Arial" w:cs="Arial"/>
                <w:spacing w:val="-2"/>
                <w:sz w:val="18"/>
                <w:szCs w:val="18"/>
                <w:lang w:val="en-GB"/>
              </w:rPr>
              <w:t>ako je primenljivo</w:t>
            </w:r>
            <w:r w:rsidRPr="00D44971">
              <w:rPr>
                <w:rFonts w:ascii="Arial" w:eastAsia="Arial" w:hAnsi="Arial" w:cs="Arial"/>
                <w:sz w:val="18"/>
                <w:szCs w:val="18"/>
                <w:lang w:val="en-GB"/>
              </w:rPr>
              <w:t>)</w:t>
            </w:r>
            <w:r w:rsidR="00781698">
              <w:rPr>
                <w:rFonts w:ascii="Arial" w:eastAsia="Arial" w:hAnsi="Arial" w:cs="Arial"/>
                <w:sz w:val="18"/>
                <w:szCs w:val="18"/>
                <w:lang w:val="en-GB"/>
              </w:rPr>
              <w:t>, koji će biti angažovan</w:t>
            </w:r>
            <w:bookmarkStart w:id="0" w:name="_GoBack"/>
            <w:bookmarkEnd w:id="0"/>
            <w:r w:rsidR="00781698">
              <w:rPr>
                <w:rFonts w:ascii="Arial" w:eastAsia="Arial" w:hAnsi="Arial" w:cs="Arial"/>
                <w:sz w:val="18"/>
                <w:szCs w:val="18"/>
                <w:lang w:val="en-GB"/>
              </w:rPr>
              <w:t xml:space="preserve"> od strane izvođača radova-ponuđača (pod-ugovor)</w:t>
            </w:r>
          </w:p>
          <w:p w:rsidR="00D44971" w:rsidRPr="00D44971" w:rsidRDefault="00D44971" w:rsidP="00D44971">
            <w:pPr>
              <w:widowControl w:val="0"/>
              <w:spacing w:after="0" w:line="200" w:lineRule="exact"/>
              <w:rPr>
                <w:rFonts w:ascii="Arial" w:eastAsia="Calibri" w:hAnsi="Arial" w:cs="Arial"/>
                <w:sz w:val="18"/>
                <w:szCs w:val="18"/>
                <w:lang w:val="en-GB"/>
              </w:rPr>
            </w:pPr>
          </w:p>
          <w:p w:rsidR="00D44971" w:rsidRPr="00D44971" w:rsidRDefault="00781698" w:rsidP="00781698">
            <w:pPr>
              <w:widowControl w:val="0"/>
              <w:spacing w:after="0" w:line="216" w:lineRule="exact"/>
              <w:ind w:left="95" w:right="340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GB"/>
              </w:rPr>
              <w:t>Inspektor zaštite životne sredine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971" w:rsidRPr="00D44971" w:rsidRDefault="00D44971" w:rsidP="00D44971">
            <w:pPr>
              <w:widowControl w:val="0"/>
              <w:rPr>
                <w:rFonts w:ascii="Arial" w:eastAsia="Calibri" w:hAnsi="Arial" w:cs="Arial"/>
                <w:sz w:val="18"/>
                <w:szCs w:val="18"/>
                <w:lang w:val="en-GB"/>
              </w:rPr>
            </w:pPr>
          </w:p>
        </w:tc>
      </w:tr>
    </w:tbl>
    <w:p w:rsidR="006C7440" w:rsidRPr="000E7530" w:rsidRDefault="006C7440" w:rsidP="00910A65">
      <w:pPr>
        <w:spacing w:after="120" w:line="240" w:lineRule="auto"/>
        <w:rPr>
          <w:rFonts w:ascii="Arial" w:hAnsi="Arial" w:cs="Arial"/>
          <w:sz w:val="18"/>
          <w:szCs w:val="18"/>
          <w:lang w:val="en-GB"/>
        </w:rPr>
      </w:pPr>
    </w:p>
    <w:p w:rsidR="006C7440" w:rsidRPr="000E7530" w:rsidRDefault="006C7440" w:rsidP="00910A65">
      <w:pPr>
        <w:spacing w:after="120" w:line="240" w:lineRule="auto"/>
        <w:rPr>
          <w:rFonts w:ascii="Arial" w:hAnsi="Arial" w:cs="Arial"/>
          <w:sz w:val="18"/>
          <w:szCs w:val="18"/>
          <w:lang w:val="en-GB"/>
        </w:rPr>
      </w:pPr>
    </w:p>
    <w:sectPr w:rsidR="006C7440" w:rsidRPr="000E7530" w:rsidSect="00D1781A">
      <w:pgSz w:w="16840" w:h="11907" w:orient="landscape" w:code="9"/>
      <w:pgMar w:top="720" w:right="720" w:bottom="720" w:left="72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BEC" w:rsidRDefault="00F06BEC" w:rsidP="00FA6B06">
      <w:pPr>
        <w:spacing w:after="0" w:line="240" w:lineRule="auto"/>
      </w:pPr>
      <w:r>
        <w:separator/>
      </w:r>
    </w:p>
  </w:endnote>
  <w:endnote w:type="continuationSeparator" w:id="0">
    <w:p w:rsidR="00F06BEC" w:rsidRDefault="00F06BEC" w:rsidP="00FA6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BEC" w:rsidRDefault="00F06BEC" w:rsidP="00FA6B06">
      <w:pPr>
        <w:spacing w:after="0" w:line="240" w:lineRule="auto"/>
      </w:pPr>
      <w:r>
        <w:separator/>
      </w:r>
    </w:p>
  </w:footnote>
  <w:footnote w:type="continuationSeparator" w:id="0">
    <w:p w:rsidR="00F06BEC" w:rsidRDefault="00F06BEC" w:rsidP="00FA6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470F9"/>
    <w:multiLevelType w:val="hybridMultilevel"/>
    <w:tmpl w:val="ADF07D3E"/>
    <w:lvl w:ilvl="0" w:tplc="2FDA165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DB63A4"/>
    <w:multiLevelType w:val="hybridMultilevel"/>
    <w:tmpl w:val="8AF8E788"/>
    <w:lvl w:ilvl="0" w:tplc="2FDA1656">
      <w:start w:val="1"/>
      <w:numFmt w:val="bullet"/>
      <w:lvlText w:val="o"/>
      <w:lvlJc w:val="left"/>
      <w:pPr>
        <w:ind w:left="1998" w:hanging="360"/>
      </w:pPr>
      <w:rPr>
        <w:rFonts w:ascii="Courier New" w:hAnsi="Courier New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7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440"/>
    <w:rsid w:val="000565F9"/>
    <w:rsid w:val="000E7530"/>
    <w:rsid w:val="00132E2D"/>
    <w:rsid w:val="00160054"/>
    <w:rsid w:val="001660CF"/>
    <w:rsid w:val="0019120A"/>
    <w:rsid w:val="001F3C35"/>
    <w:rsid w:val="00205ECD"/>
    <w:rsid w:val="003370E4"/>
    <w:rsid w:val="00357965"/>
    <w:rsid w:val="00387CE0"/>
    <w:rsid w:val="003B3C1E"/>
    <w:rsid w:val="00401EC2"/>
    <w:rsid w:val="004305DD"/>
    <w:rsid w:val="00437579"/>
    <w:rsid w:val="00461C75"/>
    <w:rsid w:val="004922D1"/>
    <w:rsid w:val="004A409B"/>
    <w:rsid w:val="004F44F2"/>
    <w:rsid w:val="005235D7"/>
    <w:rsid w:val="00567EC5"/>
    <w:rsid w:val="0057324B"/>
    <w:rsid w:val="005C6A35"/>
    <w:rsid w:val="006C7440"/>
    <w:rsid w:val="00723960"/>
    <w:rsid w:val="00756FAD"/>
    <w:rsid w:val="00761E3D"/>
    <w:rsid w:val="00781698"/>
    <w:rsid w:val="00790C54"/>
    <w:rsid w:val="007E668C"/>
    <w:rsid w:val="008165F2"/>
    <w:rsid w:val="00827151"/>
    <w:rsid w:val="00841A28"/>
    <w:rsid w:val="008D2356"/>
    <w:rsid w:val="00910A65"/>
    <w:rsid w:val="00956693"/>
    <w:rsid w:val="00956D5E"/>
    <w:rsid w:val="009C68B9"/>
    <w:rsid w:val="009D7A08"/>
    <w:rsid w:val="00A03902"/>
    <w:rsid w:val="00A55388"/>
    <w:rsid w:val="00A87CC6"/>
    <w:rsid w:val="00AA745C"/>
    <w:rsid w:val="00AB2B8B"/>
    <w:rsid w:val="00AB398C"/>
    <w:rsid w:val="00B530C6"/>
    <w:rsid w:val="00B5431A"/>
    <w:rsid w:val="00BB52F6"/>
    <w:rsid w:val="00C8356E"/>
    <w:rsid w:val="00C900C4"/>
    <w:rsid w:val="00CA40A8"/>
    <w:rsid w:val="00D1781A"/>
    <w:rsid w:val="00D23A6A"/>
    <w:rsid w:val="00D44971"/>
    <w:rsid w:val="00D96569"/>
    <w:rsid w:val="00E023F5"/>
    <w:rsid w:val="00E51695"/>
    <w:rsid w:val="00E52050"/>
    <w:rsid w:val="00E60FE0"/>
    <w:rsid w:val="00EF4673"/>
    <w:rsid w:val="00F06BEC"/>
    <w:rsid w:val="00FA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7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10A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6B06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B06"/>
  </w:style>
  <w:style w:type="paragraph" w:styleId="Footer">
    <w:name w:val="footer"/>
    <w:basedOn w:val="Normal"/>
    <w:link w:val="FooterChar"/>
    <w:uiPriority w:val="99"/>
    <w:unhideWhenUsed/>
    <w:rsid w:val="00FA6B06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B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7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10A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6B06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B06"/>
  </w:style>
  <w:style w:type="paragraph" w:styleId="Footer">
    <w:name w:val="footer"/>
    <w:basedOn w:val="Normal"/>
    <w:link w:val="FooterChar"/>
    <w:uiPriority w:val="99"/>
    <w:unhideWhenUsed/>
    <w:rsid w:val="00FA6B06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1715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Radovic</dc:creator>
  <cp:lastModifiedBy>bata</cp:lastModifiedBy>
  <cp:revision>11</cp:revision>
  <dcterms:created xsi:type="dcterms:W3CDTF">2018-07-15T09:57:00Z</dcterms:created>
  <dcterms:modified xsi:type="dcterms:W3CDTF">2018-07-22T20:05:00Z</dcterms:modified>
</cp:coreProperties>
</file>